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="00C274CA">
        <w:rPr>
          <w:sz w:val="24"/>
          <w:szCs w:val="24"/>
        </w:rPr>
        <w:t>№ 32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FF18F0">
        <w:rPr>
          <w:sz w:val="24"/>
          <w:szCs w:val="24"/>
        </w:rPr>
        <w:t>14.07</w:t>
      </w:r>
      <w:r w:rsidR="005A60D5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A6439" w:rsidRPr="00010BC2" w:rsidRDefault="004A6439" w:rsidP="004A6439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4A6439" w:rsidRDefault="004A6439" w:rsidP="004A6439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>
        <w:rPr>
          <w:b/>
          <w:sz w:val="24"/>
        </w:rPr>
        <w:t>№</w:t>
      </w:r>
      <w:r w:rsidR="00C274CA">
        <w:rPr>
          <w:b/>
          <w:sz w:val="24"/>
        </w:rPr>
        <w:t>14</w:t>
      </w:r>
      <w:bookmarkStart w:id="0" w:name="_GoBack"/>
      <w:bookmarkEnd w:id="0"/>
    </w:p>
    <w:p w:rsidR="004A6439" w:rsidRDefault="004A6439" w:rsidP="004A6439">
      <w:pPr>
        <w:jc w:val="center"/>
        <w:rPr>
          <w:b/>
          <w:sz w:val="24"/>
        </w:rPr>
      </w:pPr>
    </w:p>
    <w:p w:rsidR="00DD26E2" w:rsidRPr="00DD26E2" w:rsidRDefault="00DD26E2" w:rsidP="00DD26E2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  <w:r w:rsidRPr="00DD26E2">
        <w:rPr>
          <w:sz w:val="24"/>
          <w:szCs w:val="24"/>
        </w:rPr>
        <w:t>п. Зональная Станция</w:t>
      </w:r>
      <w:r w:rsidRPr="00DD26E2">
        <w:rPr>
          <w:sz w:val="24"/>
          <w:szCs w:val="24"/>
        </w:rPr>
        <w:tab/>
        <w:t xml:space="preserve">                                                            «14» июля  2022 года</w:t>
      </w:r>
      <w:r w:rsidRPr="00DD26E2">
        <w:rPr>
          <w:sz w:val="24"/>
          <w:szCs w:val="24"/>
        </w:rPr>
        <w:tab/>
      </w:r>
    </w:p>
    <w:p w:rsidR="00DD26E2" w:rsidRPr="00DD26E2" w:rsidRDefault="00DD26E2" w:rsidP="00DD26E2">
      <w:pPr>
        <w:jc w:val="right"/>
        <w:rPr>
          <w:b/>
          <w:sz w:val="24"/>
          <w:szCs w:val="24"/>
        </w:rPr>
      </w:pPr>
      <w:r w:rsidRPr="00DD26E2">
        <w:rPr>
          <w:sz w:val="24"/>
          <w:szCs w:val="24"/>
        </w:rPr>
        <w:tab/>
      </w:r>
      <w:r w:rsidRPr="00DD26E2">
        <w:rPr>
          <w:sz w:val="24"/>
          <w:szCs w:val="24"/>
        </w:rPr>
        <w:tab/>
      </w:r>
      <w:r w:rsidRPr="00DD26E2">
        <w:rPr>
          <w:sz w:val="24"/>
          <w:szCs w:val="24"/>
        </w:rPr>
        <w:tab/>
      </w:r>
      <w:r w:rsidRPr="00DD26E2">
        <w:rPr>
          <w:b/>
          <w:sz w:val="24"/>
          <w:szCs w:val="24"/>
        </w:rPr>
        <w:t xml:space="preserve">27-ое очередное  собрание </w:t>
      </w:r>
    </w:p>
    <w:p w:rsidR="00DD26E2" w:rsidRPr="00DD26E2" w:rsidRDefault="00DD26E2" w:rsidP="00DD26E2">
      <w:pPr>
        <w:jc w:val="right"/>
        <w:rPr>
          <w:b/>
          <w:sz w:val="24"/>
          <w:szCs w:val="24"/>
        </w:rPr>
      </w:pPr>
      <w:r w:rsidRPr="00DD26E2">
        <w:rPr>
          <w:b/>
          <w:sz w:val="24"/>
          <w:szCs w:val="24"/>
          <w:lang w:val="en-US"/>
        </w:rPr>
        <w:t>V</w:t>
      </w:r>
      <w:r w:rsidRPr="00DD26E2">
        <w:rPr>
          <w:b/>
          <w:sz w:val="24"/>
          <w:szCs w:val="24"/>
        </w:rPr>
        <w:t>-го созыва</w:t>
      </w:r>
    </w:p>
    <w:p w:rsidR="00DD26E2" w:rsidRPr="00DD26E2" w:rsidRDefault="00DD26E2" w:rsidP="00DD26E2">
      <w:pPr>
        <w:jc w:val="right"/>
        <w:rPr>
          <w:sz w:val="24"/>
          <w:szCs w:val="24"/>
        </w:rPr>
      </w:pPr>
    </w:p>
    <w:p w:rsidR="00DD26E2" w:rsidRPr="00DD26E2" w:rsidRDefault="00DD26E2" w:rsidP="00DD26E2">
      <w:pPr>
        <w:widowControl w:val="0"/>
        <w:autoSpaceDE w:val="0"/>
        <w:autoSpaceDN w:val="0"/>
        <w:adjustRightInd w:val="0"/>
        <w:spacing w:line="283" w:lineRule="exact"/>
        <w:rPr>
          <w:sz w:val="24"/>
          <w:szCs w:val="24"/>
        </w:rPr>
      </w:pPr>
      <w:r w:rsidRPr="00DD26E2">
        <w:rPr>
          <w:sz w:val="24"/>
          <w:szCs w:val="24"/>
        </w:rPr>
        <w:t xml:space="preserve">Об утверждении отчета об исполнении </w:t>
      </w:r>
    </w:p>
    <w:p w:rsidR="00DD26E2" w:rsidRPr="00DD26E2" w:rsidRDefault="00DD26E2" w:rsidP="00DD26E2">
      <w:pPr>
        <w:widowControl w:val="0"/>
        <w:autoSpaceDE w:val="0"/>
        <w:autoSpaceDN w:val="0"/>
        <w:adjustRightInd w:val="0"/>
        <w:spacing w:line="283" w:lineRule="exact"/>
        <w:rPr>
          <w:sz w:val="24"/>
          <w:szCs w:val="24"/>
        </w:rPr>
      </w:pPr>
      <w:r w:rsidRPr="00DD26E2">
        <w:rPr>
          <w:sz w:val="24"/>
          <w:szCs w:val="24"/>
        </w:rPr>
        <w:t xml:space="preserve">бюджета </w:t>
      </w:r>
      <w:proofErr w:type="spellStart"/>
      <w:r w:rsidRPr="00DD26E2">
        <w:rPr>
          <w:sz w:val="24"/>
          <w:szCs w:val="24"/>
        </w:rPr>
        <w:t>Зональненского</w:t>
      </w:r>
      <w:proofErr w:type="spellEnd"/>
      <w:r w:rsidRPr="00DD26E2">
        <w:rPr>
          <w:sz w:val="24"/>
          <w:szCs w:val="24"/>
        </w:rPr>
        <w:t xml:space="preserve"> сельского поселения </w:t>
      </w:r>
    </w:p>
    <w:p w:rsidR="00DD26E2" w:rsidRPr="00DD26E2" w:rsidRDefault="00DD26E2" w:rsidP="00DD26E2">
      <w:pPr>
        <w:widowControl w:val="0"/>
        <w:autoSpaceDE w:val="0"/>
        <w:autoSpaceDN w:val="0"/>
        <w:adjustRightInd w:val="0"/>
        <w:spacing w:line="283" w:lineRule="exact"/>
        <w:rPr>
          <w:sz w:val="24"/>
          <w:szCs w:val="24"/>
        </w:rPr>
      </w:pPr>
      <w:r w:rsidRPr="00DD26E2">
        <w:rPr>
          <w:sz w:val="24"/>
          <w:szCs w:val="24"/>
        </w:rPr>
        <w:t>за 2021 год</w:t>
      </w:r>
    </w:p>
    <w:p w:rsidR="00DD26E2" w:rsidRPr="00DD26E2" w:rsidRDefault="00DD26E2" w:rsidP="00DD26E2">
      <w:pPr>
        <w:widowControl w:val="0"/>
        <w:autoSpaceDE w:val="0"/>
        <w:autoSpaceDN w:val="0"/>
        <w:adjustRightInd w:val="0"/>
        <w:spacing w:line="283" w:lineRule="exact"/>
        <w:rPr>
          <w:sz w:val="24"/>
          <w:szCs w:val="24"/>
        </w:rPr>
      </w:pPr>
    </w:p>
    <w:p w:rsidR="00DD26E2" w:rsidRPr="00DD26E2" w:rsidRDefault="00DD26E2" w:rsidP="00DD26E2">
      <w:pPr>
        <w:spacing w:before="4" w:line="276" w:lineRule="auto"/>
        <w:ind w:firstLine="567"/>
        <w:jc w:val="both"/>
        <w:rPr>
          <w:b/>
          <w:sz w:val="24"/>
          <w:szCs w:val="24"/>
        </w:rPr>
      </w:pPr>
      <w:proofErr w:type="gramStart"/>
      <w:r w:rsidRPr="00DD26E2">
        <w:rPr>
          <w:bCs/>
          <w:sz w:val="24"/>
          <w:szCs w:val="24"/>
        </w:rPr>
        <w:t>Рассмотрев отчет об исполнении бюджета муниципального образования «</w:t>
      </w:r>
      <w:proofErr w:type="spellStart"/>
      <w:r w:rsidRPr="00DD26E2">
        <w:rPr>
          <w:bCs/>
          <w:sz w:val="24"/>
          <w:szCs w:val="24"/>
        </w:rPr>
        <w:t>Зональненское</w:t>
      </w:r>
      <w:proofErr w:type="spellEnd"/>
      <w:r w:rsidRPr="00DD26E2">
        <w:rPr>
          <w:bCs/>
          <w:sz w:val="24"/>
          <w:szCs w:val="24"/>
        </w:rPr>
        <w:t xml:space="preserve"> сельское поселение» за 2021 год, представленный Администрацией </w:t>
      </w:r>
      <w:proofErr w:type="spellStart"/>
      <w:r w:rsidRPr="00DD26E2">
        <w:rPr>
          <w:bCs/>
          <w:sz w:val="24"/>
          <w:szCs w:val="24"/>
        </w:rPr>
        <w:t>Зональненского</w:t>
      </w:r>
      <w:proofErr w:type="spellEnd"/>
      <w:r w:rsidRPr="00DD26E2">
        <w:rPr>
          <w:bCs/>
          <w:sz w:val="24"/>
          <w:szCs w:val="24"/>
        </w:rPr>
        <w:t xml:space="preserve"> сельского поселения, разработанный в соответствии с Бюджетным Кодексом Российской Федерации от 31.07.1998 г. № 145-ФЗ, Федеральным законом от 06.10.2003г. № 131-ФЗ «Об общих принципах организации местного самоуправления в Российской Федерации», ст. 39 Устава муниципального образования «</w:t>
      </w:r>
      <w:proofErr w:type="spellStart"/>
      <w:r w:rsidRPr="00DD26E2">
        <w:rPr>
          <w:bCs/>
          <w:sz w:val="24"/>
          <w:szCs w:val="24"/>
        </w:rPr>
        <w:t>Зональненское</w:t>
      </w:r>
      <w:proofErr w:type="spellEnd"/>
      <w:r w:rsidRPr="00DD26E2">
        <w:rPr>
          <w:bCs/>
          <w:sz w:val="24"/>
          <w:szCs w:val="24"/>
        </w:rPr>
        <w:t xml:space="preserve"> сельское поселение», ст. 39, 41, 42 Положения «О бюджетном</w:t>
      </w:r>
      <w:proofErr w:type="gramEnd"/>
      <w:r w:rsidRPr="00DD26E2">
        <w:rPr>
          <w:bCs/>
          <w:sz w:val="24"/>
          <w:szCs w:val="24"/>
        </w:rPr>
        <w:t xml:space="preserve"> </w:t>
      </w:r>
      <w:proofErr w:type="gramStart"/>
      <w:r w:rsidRPr="00DD26E2">
        <w:rPr>
          <w:bCs/>
          <w:sz w:val="24"/>
          <w:szCs w:val="24"/>
        </w:rPr>
        <w:t>процессе</w:t>
      </w:r>
      <w:proofErr w:type="gramEnd"/>
      <w:r w:rsidRPr="00DD26E2">
        <w:rPr>
          <w:bCs/>
          <w:sz w:val="24"/>
          <w:szCs w:val="24"/>
        </w:rPr>
        <w:t xml:space="preserve"> в муниципальном образовании «</w:t>
      </w:r>
      <w:proofErr w:type="spellStart"/>
      <w:r w:rsidRPr="00DD26E2">
        <w:rPr>
          <w:bCs/>
          <w:sz w:val="24"/>
          <w:szCs w:val="24"/>
        </w:rPr>
        <w:t>Зональненское</w:t>
      </w:r>
      <w:proofErr w:type="spellEnd"/>
      <w:r w:rsidRPr="00DD26E2">
        <w:rPr>
          <w:bCs/>
          <w:sz w:val="24"/>
          <w:szCs w:val="24"/>
        </w:rPr>
        <w:t xml:space="preserve"> сельское поселение», после проведения публичных слушаний,</w:t>
      </w:r>
    </w:p>
    <w:p w:rsidR="00DD26E2" w:rsidRPr="00DD26E2" w:rsidRDefault="00DD26E2" w:rsidP="00DD26E2">
      <w:pPr>
        <w:spacing w:before="4" w:line="273" w:lineRule="exact"/>
        <w:ind w:firstLine="900"/>
        <w:jc w:val="both"/>
        <w:rPr>
          <w:sz w:val="24"/>
          <w:szCs w:val="24"/>
        </w:rPr>
      </w:pPr>
    </w:p>
    <w:p w:rsidR="00DD26E2" w:rsidRPr="00DD26E2" w:rsidRDefault="00DD26E2" w:rsidP="00DD26E2">
      <w:pPr>
        <w:autoSpaceDE w:val="0"/>
        <w:autoSpaceDN w:val="0"/>
        <w:spacing w:line="276" w:lineRule="auto"/>
        <w:ind w:left="-426" w:right="141" w:firstLine="993"/>
        <w:rPr>
          <w:b/>
          <w:kern w:val="2"/>
          <w:sz w:val="24"/>
          <w:szCs w:val="24"/>
          <w:lang w:eastAsia="ko-KR"/>
        </w:rPr>
      </w:pPr>
      <w:r w:rsidRPr="00DD26E2">
        <w:rPr>
          <w:b/>
          <w:kern w:val="2"/>
          <w:sz w:val="24"/>
          <w:szCs w:val="24"/>
          <w:lang w:eastAsia="ko-KR"/>
        </w:rPr>
        <w:t>СОВЕТ ЗОНАЛЬНЕНСКОГО СЕЛЬСКОГО ПОСЕЛЕНИЯ РЕШИЛ:</w:t>
      </w:r>
    </w:p>
    <w:p w:rsidR="00DD26E2" w:rsidRPr="00DD26E2" w:rsidRDefault="00DD26E2" w:rsidP="00DD26E2">
      <w:pPr>
        <w:pStyle w:val="aff0"/>
        <w:numPr>
          <w:ilvl w:val="0"/>
          <w:numId w:val="26"/>
        </w:numPr>
        <w:tabs>
          <w:tab w:val="left" w:pos="284"/>
        </w:tabs>
        <w:spacing w:before="0" w:beforeAutospacing="0" w:after="0" w:afterAutospacing="0" w:line="276" w:lineRule="auto"/>
        <w:ind w:left="0" w:firstLine="709"/>
        <w:contextualSpacing/>
        <w:jc w:val="both"/>
      </w:pPr>
      <w:r w:rsidRPr="00DD26E2">
        <w:t>Утвердить отчет об исполнении бюджета муниципального образования «</w:t>
      </w:r>
      <w:proofErr w:type="spellStart"/>
      <w:r w:rsidRPr="00DD26E2">
        <w:t>Зональненского</w:t>
      </w:r>
      <w:proofErr w:type="spellEnd"/>
      <w:r w:rsidRPr="00DD26E2">
        <w:t xml:space="preserve"> сельского поселения» за 2021 год согласно приложению к настоящему решению.</w:t>
      </w:r>
    </w:p>
    <w:p w:rsidR="00DD26E2" w:rsidRPr="00DD26E2" w:rsidRDefault="00DD26E2" w:rsidP="00DD26E2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Style w:val="aa"/>
          <w:sz w:val="24"/>
          <w:szCs w:val="24"/>
        </w:rPr>
      </w:pPr>
      <w:r w:rsidRPr="00DD26E2">
        <w:rPr>
          <w:sz w:val="24"/>
          <w:szCs w:val="24"/>
        </w:rPr>
        <w:t>2.</w:t>
      </w:r>
      <w:r w:rsidRPr="00DD26E2">
        <w:rPr>
          <w:sz w:val="24"/>
          <w:szCs w:val="24"/>
        </w:rPr>
        <w:tab/>
        <w:t xml:space="preserve">Опубликовать настоящее Решение в печатном издании «Информационный бюллетень </w:t>
      </w:r>
      <w:proofErr w:type="spellStart"/>
      <w:r w:rsidRPr="00DD26E2">
        <w:rPr>
          <w:sz w:val="24"/>
          <w:szCs w:val="24"/>
        </w:rPr>
        <w:t>Зональненского</w:t>
      </w:r>
      <w:proofErr w:type="spellEnd"/>
      <w:r w:rsidRPr="00DD26E2">
        <w:rPr>
          <w:sz w:val="24"/>
          <w:szCs w:val="24"/>
        </w:rPr>
        <w:t xml:space="preserve"> сельского поселения» и на официальном сайте муниципального образования «</w:t>
      </w:r>
      <w:proofErr w:type="spellStart"/>
      <w:r w:rsidRPr="00DD26E2">
        <w:rPr>
          <w:sz w:val="24"/>
          <w:szCs w:val="24"/>
        </w:rPr>
        <w:t>Зональненское</w:t>
      </w:r>
      <w:proofErr w:type="spellEnd"/>
      <w:r w:rsidRPr="00DD26E2">
        <w:rPr>
          <w:sz w:val="24"/>
          <w:szCs w:val="24"/>
        </w:rPr>
        <w:t xml:space="preserve"> сельское поселение» в информационно – телекоммуникационной сети «Интернет» </w:t>
      </w:r>
      <w:hyperlink r:id="rId9" w:history="1">
        <w:r w:rsidRPr="00DD26E2">
          <w:rPr>
            <w:rStyle w:val="aa"/>
            <w:sz w:val="24"/>
            <w:szCs w:val="24"/>
          </w:rPr>
          <w:t>http://www.admzsp.ru</w:t>
        </w:r>
      </w:hyperlink>
      <w:r w:rsidRPr="00DD26E2">
        <w:rPr>
          <w:sz w:val="24"/>
          <w:szCs w:val="24"/>
        </w:rPr>
        <w:t>.</w:t>
      </w:r>
      <w:r w:rsidRPr="00DD26E2">
        <w:rPr>
          <w:rStyle w:val="aa"/>
          <w:sz w:val="24"/>
          <w:szCs w:val="24"/>
        </w:rPr>
        <w:t xml:space="preserve"> </w:t>
      </w:r>
    </w:p>
    <w:p w:rsidR="00DD26E2" w:rsidRPr="00DD26E2" w:rsidRDefault="00DD26E2" w:rsidP="00DD26E2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Style w:val="aa"/>
          <w:sz w:val="24"/>
          <w:szCs w:val="24"/>
        </w:rPr>
      </w:pPr>
      <w:r w:rsidRPr="00DD26E2">
        <w:rPr>
          <w:rStyle w:val="aa"/>
          <w:sz w:val="24"/>
          <w:szCs w:val="24"/>
        </w:rPr>
        <w:t>3. Настоящее решение вступает в силу с момента его официального опубликования.</w:t>
      </w:r>
    </w:p>
    <w:p w:rsidR="00DD26E2" w:rsidRPr="00DD26E2" w:rsidRDefault="00DD26E2" w:rsidP="00DD26E2">
      <w:pPr>
        <w:jc w:val="both"/>
        <w:rPr>
          <w:sz w:val="24"/>
          <w:szCs w:val="24"/>
        </w:rPr>
      </w:pPr>
    </w:p>
    <w:p w:rsidR="00DD26E2" w:rsidRPr="00DD26E2" w:rsidRDefault="00DD26E2" w:rsidP="00DD26E2">
      <w:pPr>
        <w:rPr>
          <w:sz w:val="24"/>
          <w:szCs w:val="24"/>
        </w:rPr>
      </w:pPr>
      <w:r w:rsidRPr="00DD26E2">
        <w:rPr>
          <w:sz w:val="24"/>
          <w:szCs w:val="24"/>
        </w:rPr>
        <w:t xml:space="preserve">Глава поселения            </w:t>
      </w:r>
    </w:p>
    <w:p w:rsidR="00DD26E2" w:rsidRPr="00DD26E2" w:rsidRDefault="00DD26E2" w:rsidP="00DD26E2">
      <w:pPr>
        <w:rPr>
          <w:sz w:val="24"/>
          <w:szCs w:val="24"/>
        </w:rPr>
      </w:pPr>
      <w:r w:rsidRPr="00DD26E2">
        <w:rPr>
          <w:sz w:val="24"/>
          <w:szCs w:val="24"/>
        </w:rPr>
        <w:t xml:space="preserve">(Главы Администрации)                                      </w:t>
      </w:r>
      <w:r w:rsidRPr="00DD26E2">
        <w:rPr>
          <w:sz w:val="24"/>
          <w:szCs w:val="24"/>
        </w:rPr>
        <w:tab/>
      </w:r>
      <w:r w:rsidRPr="00DD26E2">
        <w:rPr>
          <w:sz w:val="24"/>
          <w:szCs w:val="24"/>
        </w:rPr>
        <w:tab/>
        <w:t xml:space="preserve">        Е.А. Коновалова</w:t>
      </w:r>
    </w:p>
    <w:p w:rsidR="00DD26E2" w:rsidRPr="00DD26E2" w:rsidRDefault="00DD26E2" w:rsidP="00DD26E2">
      <w:pPr>
        <w:rPr>
          <w:sz w:val="24"/>
          <w:szCs w:val="24"/>
        </w:rPr>
      </w:pPr>
      <w:r w:rsidRPr="00DD26E2">
        <w:rPr>
          <w:sz w:val="24"/>
          <w:szCs w:val="24"/>
        </w:rPr>
        <w:t xml:space="preserve">Глава поселения            </w:t>
      </w:r>
    </w:p>
    <w:p w:rsidR="00DD26E2" w:rsidRPr="00DD26E2" w:rsidRDefault="00DD26E2" w:rsidP="00DD26E2">
      <w:pPr>
        <w:rPr>
          <w:sz w:val="24"/>
          <w:szCs w:val="24"/>
        </w:rPr>
      </w:pPr>
      <w:r w:rsidRPr="00DD26E2">
        <w:rPr>
          <w:sz w:val="24"/>
          <w:szCs w:val="24"/>
        </w:rPr>
        <w:t xml:space="preserve">(Главы Администрации)                                      </w:t>
      </w:r>
      <w:r w:rsidRPr="00DD26E2">
        <w:rPr>
          <w:sz w:val="24"/>
          <w:szCs w:val="24"/>
        </w:rPr>
        <w:tab/>
      </w:r>
      <w:r w:rsidRPr="00DD26E2">
        <w:rPr>
          <w:sz w:val="24"/>
          <w:szCs w:val="24"/>
        </w:rPr>
        <w:tab/>
        <w:t xml:space="preserve">         Е.А. Коновалова</w:t>
      </w:r>
    </w:p>
    <w:p w:rsidR="00DD26E2" w:rsidRPr="00DD26E2" w:rsidRDefault="00DD26E2" w:rsidP="00DD26E2">
      <w:pPr>
        <w:rPr>
          <w:sz w:val="24"/>
          <w:szCs w:val="24"/>
        </w:rPr>
        <w:sectPr w:rsidR="00DD26E2" w:rsidRPr="00DD26E2" w:rsidSect="00DD26E2">
          <w:pgSz w:w="11906" w:h="16838"/>
          <w:pgMar w:top="568" w:right="851" w:bottom="0" w:left="1701" w:header="709" w:footer="709" w:gutter="0"/>
          <w:cols w:space="720"/>
        </w:sectPr>
      </w:pPr>
    </w:p>
    <w:p w:rsidR="00DD26E2" w:rsidRPr="00DD26E2" w:rsidRDefault="00DD26E2" w:rsidP="00DD26E2">
      <w:pPr>
        <w:jc w:val="right"/>
        <w:rPr>
          <w:i/>
          <w:sz w:val="24"/>
          <w:szCs w:val="24"/>
        </w:rPr>
      </w:pPr>
    </w:p>
    <w:p w:rsidR="00DD26E2" w:rsidRPr="00DD26E2" w:rsidRDefault="00DD26E2" w:rsidP="00DD26E2">
      <w:pPr>
        <w:jc w:val="right"/>
        <w:rPr>
          <w:i/>
          <w:sz w:val="24"/>
          <w:szCs w:val="24"/>
        </w:rPr>
      </w:pPr>
      <w:r w:rsidRPr="00DD26E2">
        <w:rPr>
          <w:i/>
          <w:sz w:val="24"/>
          <w:szCs w:val="24"/>
        </w:rPr>
        <w:t>Приложение</w:t>
      </w:r>
      <w:r>
        <w:rPr>
          <w:i/>
          <w:sz w:val="24"/>
          <w:szCs w:val="24"/>
        </w:rPr>
        <w:t xml:space="preserve"> </w:t>
      </w:r>
      <w:r w:rsidRPr="00DD26E2">
        <w:rPr>
          <w:i/>
          <w:sz w:val="24"/>
          <w:szCs w:val="24"/>
        </w:rPr>
        <w:t xml:space="preserve">1  к решению  </w:t>
      </w:r>
    </w:p>
    <w:p w:rsidR="00DD26E2" w:rsidRPr="00DD26E2" w:rsidRDefault="00DD26E2" w:rsidP="00DD26E2">
      <w:pPr>
        <w:jc w:val="right"/>
        <w:rPr>
          <w:i/>
          <w:sz w:val="24"/>
          <w:szCs w:val="24"/>
        </w:rPr>
      </w:pPr>
      <w:r w:rsidRPr="00DD26E2">
        <w:rPr>
          <w:i/>
          <w:sz w:val="24"/>
          <w:szCs w:val="24"/>
        </w:rPr>
        <w:t xml:space="preserve">Совета поселения </w:t>
      </w:r>
    </w:p>
    <w:p w:rsidR="00DD26E2" w:rsidRPr="00DD26E2" w:rsidRDefault="00DD26E2" w:rsidP="00DD26E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от   14.07.2022 №14</w:t>
      </w:r>
      <w:r w:rsidRPr="00DD26E2">
        <w:rPr>
          <w:i/>
          <w:sz w:val="24"/>
          <w:szCs w:val="24"/>
        </w:rPr>
        <w:t xml:space="preserve">       </w:t>
      </w:r>
    </w:p>
    <w:p w:rsidR="00DD26E2" w:rsidRPr="00DD26E2" w:rsidRDefault="00DD26E2" w:rsidP="00DD26E2">
      <w:pPr>
        <w:jc w:val="center"/>
        <w:rPr>
          <w:b/>
          <w:sz w:val="24"/>
          <w:szCs w:val="24"/>
        </w:rPr>
      </w:pPr>
    </w:p>
    <w:p w:rsidR="00DD26E2" w:rsidRPr="00DD26E2" w:rsidRDefault="00DD26E2" w:rsidP="00DD26E2">
      <w:pPr>
        <w:jc w:val="center"/>
        <w:rPr>
          <w:b/>
          <w:sz w:val="24"/>
          <w:szCs w:val="24"/>
        </w:rPr>
      </w:pPr>
    </w:p>
    <w:p w:rsidR="00DD26E2" w:rsidRPr="00DD26E2" w:rsidRDefault="00DD26E2" w:rsidP="00DD26E2">
      <w:pPr>
        <w:jc w:val="center"/>
        <w:rPr>
          <w:b/>
          <w:sz w:val="24"/>
          <w:szCs w:val="24"/>
        </w:rPr>
      </w:pPr>
      <w:r w:rsidRPr="00DD26E2">
        <w:rPr>
          <w:b/>
          <w:sz w:val="24"/>
          <w:szCs w:val="24"/>
        </w:rPr>
        <w:t xml:space="preserve">Отчет об исполнении бюджета </w:t>
      </w:r>
      <w:proofErr w:type="spellStart"/>
      <w:r w:rsidRPr="00DD26E2">
        <w:rPr>
          <w:b/>
          <w:sz w:val="24"/>
          <w:szCs w:val="24"/>
        </w:rPr>
        <w:t>Зональненского</w:t>
      </w:r>
      <w:proofErr w:type="spellEnd"/>
      <w:r w:rsidRPr="00DD26E2">
        <w:rPr>
          <w:b/>
          <w:sz w:val="24"/>
          <w:szCs w:val="24"/>
        </w:rPr>
        <w:t xml:space="preserve"> сельского поселения за 2021 год:</w:t>
      </w:r>
    </w:p>
    <w:p w:rsidR="00DD26E2" w:rsidRPr="00DD26E2" w:rsidRDefault="00DD26E2" w:rsidP="00DD26E2">
      <w:pPr>
        <w:tabs>
          <w:tab w:val="num" w:pos="0"/>
        </w:tabs>
        <w:ind w:left="-142"/>
        <w:jc w:val="both"/>
        <w:rPr>
          <w:kern w:val="3"/>
          <w:sz w:val="24"/>
          <w:szCs w:val="24"/>
          <w:lang w:eastAsia="zh-CN" w:bidi="hi-IN"/>
        </w:rPr>
      </w:pPr>
      <w:r w:rsidRPr="00DD26E2">
        <w:rPr>
          <w:kern w:val="3"/>
          <w:sz w:val="24"/>
          <w:szCs w:val="24"/>
          <w:lang w:eastAsia="zh-CN" w:bidi="hi-IN"/>
        </w:rPr>
        <w:t>- по доходам в сумме 43 823,9 тыс. руб.;</w:t>
      </w:r>
    </w:p>
    <w:p w:rsidR="00DD26E2" w:rsidRPr="00DD26E2" w:rsidRDefault="00DD26E2" w:rsidP="00DD26E2">
      <w:pPr>
        <w:tabs>
          <w:tab w:val="num" w:pos="0"/>
        </w:tabs>
        <w:ind w:left="-142"/>
        <w:jc w:val="both"/>
        <w:rPr>
          <w:kern w:val="3"/>
          <w:sz w:val="24"/>
          <w:szCs w:val="24"/>
          <w:lang w:eastAsia="zh-CN" w:bidi="hi-IN"/>
        </w:rPr>
      </w:pPr>
      <w:r w:rsidRPr="00DD26E2">
        <w:rPr>
          <w:kern w:val="3"/>
          <w:sz w:val="24"/>
          <w:szCs w:val="24"/>
          <w:lang w:eastAsia="zh-CN" w:bidi="hi-IN"/>
        </w:rPr>
        <w:t xml:space="preserve">- по расходам в сумме 41 375,5 тыс. руб.; </w:t>
      </w:r>
    </w:p>
    <w:p w:rsidR="00DD26E2" w:rsidRPr="00DD26E2" w:rsidRDefault="00DD26E2" w:rsidP="00DD26E2">
      <w:pPr>
        <w:tabs>
          <w:tab w:val="num" w:pos="0"/>
        </w:tabs>
        <w:ind w:left="-142"/>
        <w:jc w:val="both"/>
        <w:rPr>
          <w:kern w:val="3"/>
          <w:sz w:val="24"/>
          <w:szCs w:val="24"/>
          <w:lang w:eastAsia="zh-CN" w:bidi="hi-IN"/>
        </w:rPr>
      </w:pPr>
      <w:r w:rsidRPr="00DD26E2">
        <w:rPr>
          <w:kern w:val="3"/>
          <w:sz w:val="24"/>
          <w:szCs w:val="24"/>
          <w:lang w:eastAsia="zh-CN" w:bidi="hi-IN"/>
        </w:rPr>
        <w:t xml:space="preserve">- </w:t>
      </w:r>
      <w:proofErr w:type="spellStart"/>
      <w:r w:rsidRPr="00DD26E2">
        <w:rPr>
          <w:kern w:val="3"/>
          <w:sz w:val="24"/>
          <w:szCs w:val="24"/>
          <w:lang w:eastAsia="zh-CN" w:bidi="hi-IN"/>
        </w:rPr>
        <w:t>профицит</w:t>
      </w:r>
      <w:proofErr w:type="spellEnd"/>
      <w:r w:rsidRPr="00DD26E2">
        <w:rPr>
          <w:kern w:val="3"/>
          <w:sz w:val="24"/>
          <w:szCs w:val="24"/>
          <w:lang w:eastAsia="zh-CN" w:bidi="hi-IN"/>
        </w:rPr>
        <w:t xml:space="preserve"> бюджета 2 448,4 тыс. руб.;</w:t>
      </w:r>
    </w:p>
    <w:p w:rsidR="00DD26E2" w:rsidRPr="00DD26E2" w:rsidRDefault="00DD26E2" w:rsidP="00DD26E2">
      <w:pPr>
        <w:jc w:val="center"/>
        <w:rPr>
          <w:b/>
          <w:sz w:val="24"/>
          <w:szCs w:val="24"/>
        </w:rPr>
      </w:pPr>
    </w:p>
    <w:p w:rsidR="00DD26E2" w:rsidRPr="00DD26E2" w:rsidRDefault="00DD26E2" w:rsidP="00DD26E2">
      <w:pPr>
        <w:rPr>
          <w:sz w:val="24"/>
          <w:szCs w:val="24"/>
        </w:rPr>
      </w:pPr>
    </w:p>
    <w:p w:rsidR="00DD26E2" w:rsidRPr="00DD26E2" w:rsidRDefault="00DD26E2" w:rsidP="00DD26E2">
      <w:pPr>
        <w:pStyle w:val="10"/>
        <w:ind w:left="6372"/>
        <w:rPr>
          <w:b/>
          <w:sz w:val="24"/>
          <w:szCs w:val="24"/>
        </w:rPr>
      </w:pPr>
      <w:r w:rsidRPr="00DD26E2">
        <w:rPr>
          <w:sz w:val="24"/>
          <w:szCs w:val="24"/>
        </w:rPr>
        <w:t>Приложение №2</w:t>
      </w:r>
    </w:p>
    <w:tbl>
      <w:tblPr>
        <w:tblW w:w="10230" w:type="dxa"/>
        <w:tblInd w:w="91" w:type="dxa"/>
        <w:tblLayout w:type="fixed"/>
        <w:tblLook w:val="04A0"/>
      </w:tblPr>
      <w:tblGrid>
        <w:gridCol w:w="10230"/>
      </w:tblGrid>
      <w:tr w:rsidR="00DD26E2" w:rsidRPr="00DD26E2" w:rsidTr="00DD26E2">
        <w:trPr>
          <w:trHeight w:val="285"/>
        </w:trPr>
        <w:tc>
          <w:tcPr>
            <w:tcW w:w="10223" w:type="dxa"/>
            <w:vAlign w:val="center"/>
            <w:hideMark/>
          </w:tcPr>
          <w:p w:rsidR="00DD26E2" w:rsidRPr="00DD26E2" w:rsidRDefault="00DD26E2">
            <w:pPr>
              <w:pStyle w:val="10"/>
              <w:ind w:left="6372"/>
              <w:rPr>
                <w:iCs/>
                <w:sz w:val="24"/>
                <w:szCs w:val="24"/>
              </w:rPr>
            </w:pPr>
            <w:r w:rsidRPr="00DD26E2">
              <w:rPr>
                <w:iCs/>
                <w:sz w:val="24"/>
                <w:szCs w:val="24"/>
              </w:rPr>
              <w:t xml:space="preserve">  к отчету об исполнении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DD26E2" w:rsidRPr="00DD26E2" w:rsidTr="00DD26E2">
        <w:trPr>
          <w:trHeight w:val="299"/>
        </w:trPr>
        <w:tc>
          <w:tcPr>
            <w:tcW w:w="10223" w:type="dxa"/>
            <w:noWrap/>
            <w:vAlign w:val="center"/>
            <w:hideMark/>
          </w:tcPr>
          <w:p w:rsidR="00DD26E2" w:rsidRPr="00DD26E2" w:rsidRDefault="00DD26E2">
            <w:pPr>
              <w:jc w:val="right"/>
              <w:rPr>
                <w:iCs/>
                <w:sz w:val="24"/>
                <w:szCs w:val="24"/>
              </w:rPr>
            </w:pPr>
            <w:r w:rsidRPr="00DD26E2">
              <w:rPr>
                <w:iCs/>
                <w:sz w:val="24"/>
                <w:szCs w:val="24"/>
              </w:rPr>
              <w:t xml:space="preserve">бюджета </w:t>
            </w:r>
            <w:proofErr w:type="spellStart"/>
            <w:r w:rsidRPr="00DD26E2">
              <w:rPr>
                <w:iCs/>
                <w:sz w:val="24"/>
                <w:szCs w:val="24"/>
              </w:rPr>
              <w:t>Зональненского</w:t>
            </w:r>
            <w:proofErr w:type="spellEnd"/>
            <w:r w:rsidRPr="00DD26E2"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DD26E2" w:rsidRPr="00DD26E2" w:rsidRDefault="00DD26E2" w:rsidP="00DD26E2">
      <w:pPr>
        <w:jc w:val="right"/>
        <w:rPr>
          <w:sz w:val="24"/>
          <w:szCs w:val="24"/>
        </w:rPr>
      </w:pPr>
      <w:r w:rsidRPr="00DD26E2">
        <w:rPr>
          <w:sz w:val="24"/>
          <w:szCs w:val="24"/>
        </w:rPr>
        <w:t>за 2021 год</w:t>
      </w:r>
    </w:p>
    <w:p w:rsidR="00DD26E2" w:rsidRPr="00DD26E2" w:rsidRDefault="00DD26E2" w:rsidP="00DD26E2">
      <w:pPr>
        <w:tabs>
          <w:tab w:val="left" w:pos="5460"/>
        </w:tabs>
        <w:rPr>
          <w:b/>
          <w:sz w:val="24"/>
          <w:szCs w:val="24"/>
        </w:rPr>
      </w:pPr>
      <w:r w:rsidRPr="00DD26E2">
        <w:rPr>
          <w:b/>
          <w:sz w:val="24"/>
          <w:szCs w:val="24"/>
        </w:rPr>
        <w:tab/>
      </w:r>
    </w:p>
    <w:p w:rsidR="00DD26E2" w:rsidRPr="00DD26E2" w:rsidRDefault="00DD26E2" w:rsidP="00DD26E2">
      <w:pPr>
        <w:pStyle w:val="10"/>
        <w:rPr>
          <w:b/>
          <w:sz w:val="24"/>
          <w:szCs w:val="24"/>
        </w:rPr>
      </w:pPr>
      <w:r w:rsidRPr="00DD26E2">
        <w:rPr>
          <w:rFonts w:eastAsia="Calibri"/>
          <w:b/>
          <w:bCs/>
          <w:sz w:val="24"/>
          <w:szCs w:val="24"/>
        </w:rPr>
        <w:t>Перечень главных администраторов доходов бюджета, закрепляемые за ними виды (подвиды) доходов бюджета</w:t>
      </w:r>
      <w:r w:rsidRPr="00DD26E2">
        <w:rPr>
          <w:b/>
          <w:sz w:val="24"/>
          <w:szCs w:val="24"/>
        </w:rPr>
        <w:t xml:space="preserve"> </w:t>
      </w:r>
    </w:p>
    <w:tbl>
      <w:tblPr>
        <w:tblW w:w="1014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7"/>
        <w:gridCol w:w="2859"/>
        <w:gridCol w:w="1750"/>
        <w:gridCol w:w="1448"/>
        <w:gridCol w:w="1466"/>
      </w:tblGrid>
      <w:tr w:rsidR="00DD26E2" w:rsidRPr="00DD26E2" w:rsidTr="00DD26E2">
        <w:trPr>
          <w:trHeight w:val="101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26E2">
              <w:rPr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26E2">
              <w:rPr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26E2">
              <w:rPr>
                <w:bCs/>
                <w:color w:val="000000"/>
                <w:sz w:val="24"/>
                <w:szCs w:val="24"/>
              </w:rPr>
              <w:t> </w:t>
            </w:r>
          </w:p>
          <w:p w:rsidR="00DD26E2" w:rsidRPr="00DD26E2" w:rsidRDefault="00DD26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26E2">
              <w:rPr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26E2">
              <w:rPr>
                <w:bCs/>
                <w:color w:val="000000"/>
                <w:sz w:val="24"/>
                <w:szCs w:val="24"/>
              </w:rPr>
              <w:t> </w:t>
            </w:r>
          </w:p>
          <w:p w:rsidR="00DD26E2" w:rsidRPr="00DD26E2" w:rsidRDefault="00DD26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26E2">
              <w:rPr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26E2">
              <w:rPr>
                <w:bCs/>
                <w:color w:val="000000"/>
                <w:sz w:val="24"/>
                <w:szCs w:val="24"/>
              </w:rPr>
              <w:t> </w:t>
            </w:r>
          </w:p>
          <w:p w:rsidR="00DD26E2" w:rsidRPr="00DD26E2" w:rsidRDefault="00DD26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26E2">
              <w:rPr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DD26E2" w:rsidRPr="00DD26E2" w:rsidTr="00DD26E2">
        <w:trPr>
          <w:trHeight w:val="315"/>
        </w:trPr>
        <w:tc>
          <w:tcPr>
            <w:tcW w:w="5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D26E2" w:rsidRPr="00DD26E2" w:rsidRDefault="00DD26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42055,1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43823,9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104,21%</w:t>
            </w:r>
          </w:p>
        </w:tc>
      </w:tr>
      <w:tr w:rsidR="00DD26E2" w:rsidRPr="00DD26E2" w:rsidTr="00DD26E2">
        <w:trPr>
          <w:trHeight w:val="300"/>
        </w:trPr>
        <w:tc>
          <w:tcPr>
            <w:tcW w:w="2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000 100 00000 00 0000 000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20583,2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25082,7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121,9%</w:t>
            </w:r>
          </w:p>
        </w:tc>
      </w:tr>
      <w:tr w:rsidR="00DD26E2" w:rsidRPr="00DD26E2" w:rsidTr="00DD26E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</w:p>
        </w:tc>
      </w:tr>
      <w:tr w:rsidR="00DD26E2" w:rsidRPr="00DD26E2" w:rsidTr="00DD26E2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i/>
                <w:iCs/>
                <w:color w:val="000000"/>
                <w:sz w:val="24"/>
                <w:szCs w:val="24"/>
              </w:rPr>
              <w:t>19545,2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DD26E2" w:rsidRPr="00DD26E2" w:rsidRDefault="00DD26E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23868,8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122,1%</w:t>
            </w:r>
          </w:p>
        </w:tc>
      </w:tr>
      <w:tr w:rsidR="00DD26E2" w:rsidRPr="00DD26E2" w:rsidTr="00DD26E2">
        <w:trPr>
          <w:trHeight w:val="52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182 101 02000 01 0000 110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5381,4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7357,9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136,7%</w:t>
            </w:r>
          </w:p>
        </w:tc>
      </w:tr>
      <w:tr w:rsidR="00DD26E2" w:rsidRPr="00DD26E2" w:rsidTr="00DD26E2">
        <w:trPr>
          <w:trHeight w:val="129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100 103 02000 01 0000 110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2048,8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2118,5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103,4%</w:t>
            </w:r>
          </w:p>
        </w:tc>
      </w:tr>
      <w:tr w:rsidR="00DD26E2" w:rsidRPr="00DD26E2" w:rsidTr="00DD26E2">
        <w:trPr>
          <w:trHeight w:val="52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182 105 03010 01 1000 110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896,7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1691,9%</w:t>
            </w:r>
          </w:p>
        </w:tc>
      </w:tr>
      <w:tr w:rsidR="00DD26E2" w:rsidRPr="00DD26E2" w:rsidTr="00DD26E2">
        <w:trPr>
          <w:trHeight w:val="52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182 106 01030 10 0000 110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3992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5831,6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146,1%</w:t>
            </w:r>
          </w:p>
        </w:tc>
      </w:tr>
      <w:tr w:rsidR="00DD26E2" w:rsidRPr="00DD26E2" w:rsidTr="00DD26E2">
        <w:trPr>
          <w:trHeight w:val="52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182 106 06000 10 0000 110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8070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7664,1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95,0%</w:t>
            </w:r>
          </w:p>
        </w:tc>
      </w:tr>
      <w:tr w:rsidR="00DD26E2" w:rsidRPr="00DD26E2" w:rsidTr="00DD26E2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i/>
                <w:iCs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i/>
                <w:iCs/>
                <w:color w:val="000000"/>
                <w:sz w:val="24"/>
                <w:szCs w:val="24"/>
              </w:rPr>
              <w:t>1213,9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116,9%</w:t>
            </w:r>
          </w:p>
        </w:tc>
      </w:tr>
      <w:tr w:rsidR="00DD26E2" w:rsidRPr="00DD26E2" w:rsidTr="00DD26E2">
        <w:trPr>
          <w:trHeight w:val="103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933 111 009045 10 0000 120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299,9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166,6%</w:t>
            </w:r>
          </w:p>
        </w:tc>
      </w:tr>
      <w:tr w:rsidR="00DD26E2" w:rsidRPr="00DD26E2" w:rsidTr="00DD26E2">
        <w:trPr>
          <w:trHeight w:val="2042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933 111 0503510.0001.120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</w:t>
            </w:r>
            <w:r w:rsidRPr="00DD26E2">
              <w:rPr>
                <w:color w:val="000000"/>
                <w:sz w:val="24"/>
                <w:szCs w:val="24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135,1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146,8%</w:t>
            </w:r>
          </w:p>
        </w:tc>
      </w:tr>
      <w:tr w:rsidR="00DD26E2" w:rsidRPr="00DD26E2" w:rsidTr="00DD26E2">
        <w:trPr>
          <w:trHeight w:val="21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lastRenderedPageBreak/>
              <w:t>933 111 0503510.0002.120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125,0%</w:t>
            </w:r>
          </w:p>
        </w:tc>
      </w:tr>
      <w:tr w:rsidR="00DD26E2" w:rsidRPr="00DD26E2" w:rsidTr="00DD26E2">
        <w:trPr>
          <w:trHeight w:val="3263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933 111 0532510.0000.120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</w:t>
            </w:r>
            <w:r w:rsidRPr="00DD26E2">
              <w:rPr>
                <w:color w:val="000000"/>
                <w:sz w:val="24"/>
                <w:szCs w:val="24"/>
              </w:rPr>
              <w:br/>
              <w:t>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154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933 1 16 10031 10 0000 140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DD26E2">
              <w:rPr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DD26E2">
              <w:rPr>
                <w:color w:val="000000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2936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jc w:val="right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93311402053100000000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r w:rsidRPr="00DD26E2">
              <w:rPr>
                <w:color w:val="000000"/>
                <w:sz w:val="24"/>
                <w:szCs w:val="24"/>
              </w:rPr>
              <w:lastRenderedPageBreak/>
              <w:t>указанному имуществу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lastRenderedPageBreak/>
              <w:t>613,2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613,2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1407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lastRenderedPageBreak/>
              <w:t>933 116 02020 02 0000 140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rPr>
                <w:sz w:val="24"/>
                <w:szCs w:val="24"/>
              </w:rPr>
            </w:pPr>
          </w:p>
        </w:tc>
      </w:tr>
      <w:tr w:rsidR="00DD26E2" w:rsidRPr="00DD26E2" w:rsidTr="00DD26E2">
        <w:trPr>
          <w:trHeight w:val="52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933 117 01050 10 0000 180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Прочие неналоговые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DD26E2" w:rsidRPr="00DD26E2" w:rsidTr="00DD26E2">
        <w:trPr>
          <w:trHeight w:val="52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933 200 00000 00 0000000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21471,9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18741,2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87,3%</w:t>
            </w:r>
          </w:p>
        </w:tc>
      </w:tr>
    </w:tbl>
    <w:p w:rsidR="00DD26E2" w:rsidRPr="00DD26E2" w:rsidRDefault="00DD26E2" w:rsidP="00DD26E2">
      <w:pPr>
        <w:rPr>
          <w:color w:val="000000"/>
          <w:sz w:val="24"/>
          <w:szCs w:val="24"/>
        </w:rPr>
      </w:pPr>
    </w:p>
    <w:p w:rsidR="00DD26E2" w:rsidRPr="00DD26E2" w:rsidRDefault="00DD26E2" w:rsidP="00DD26E2">
      <w:pPr>
        <w:rPr>
          <w:sz w:val="24"/>
          <w:szCs w:val="24"/>
        </w:rPr>
      </w:pPr>
    </w:p>
    <w:p w:rsidR="00DD26E2" w:rsidRPr="00DD26E2" w:rsidRDefault="00DD26E2" w:rsidP="00DD26E2">
      <w:pPr>
        <w:rPr>
          <w:sz w:val="24"/>
          <w:szCs w:val="24"/>
        </w:rPr>
      </w:pPr>
    </w:p>
    <w:p w:rsidR="00DD26E2" w:rsidRPr="00DD26E2" w:rsidRDefault="00DD26E2" w:rsidP="00DD26E2">
      <w:pPr>
        <w:pStyle w:val="10"/>
        <w:ind w:left="6372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D26E2">
        <w:rPr>
          <w:sz w:val="24"/>
          <w:szCs w:val="24"/>
        </w:rPr>
        <w:t xml:space="preserve">Приложение №3 </w:t>
      </w:r>
    </w:p>
    <w:tbl>
      <w:tblPr>
        <w:tblW w:w="10230" w:type="dxa"/>
        <w:tblInd w:w="91" w:type="dxa"/>
        <w:tblLayout w:type="fixed"/>
        <w:tblLook w:val="04A0"/>
      </w:tblPr>
      <w:tblGrid>
        <w:gridCol w:w="10230"/>
      </w:tblGrid>
      <w:tr w:rsidR="00DD26E2" w:rsidRPr="00DD26E2" w:rsidTr="00DD26E2">
        <w:trPr>
          <w:trHeight w:val="285"/>
        </w:trPr>
        <w:tc>
          <w:tcPr>
            <w:tcW w:w="10223" w:type="dxa"/>
            <w:vAlign w:val="center"/>
            <w:hideMark/>
          </w:tcPr>
          <w:p w:rsidR="00DD26E2" w:rsidRPr="00DD26E2" w:rsidRDefault="00DD26E2">
            <w:pPr>
              <w:pStyle w:val="10"/>
              <w:ind w:left="6372"/>
              <w:rPr>
                <w:iCs/>
                <w:sz w:val="24"/>
                <w:szCs w:val="24"/>
              </w:rPr>
            </w:pPr>
            <w:r w:rsidRPr="00DD26E2">
              <w:rPr>
                <w:iCs/>
                <w:sz w:val="24"/>
                <w:szCs w:val="24"/>
              </w:rPr>
              <w:t xml:space="preserve">                   к отчету об исполнении</w:t>
            </w:r>
          </w:p>
        </w:tc>
      </w:tr>
      <w:tr w:rsidR="00DD26E2" w:rsidRPr="00DD26E2" w:rsidTr="00DD26E2">
        <w:trPr>
          <w:trHeight w:val="299"/>
        </w:trPr>
        <w:tc>
          <w:tcPr>
            <w:tcW w:w="10223" w:type="dxa"/>
            <w:noWrap/>
            <w:vAlign w:val="center"/>
            <w:hideMark/>
          </w:tcPr>
          <w:p w:rsidR="00DD26E2" w:rsidRPr="00DD26E2" w:rsidRDefault="00DD26E2">
            <w:pPr>
              <w:jc w:val="right"/>
              <w:rPr>
                <w:iCs/>
                <w:sz w:val="24"/>
                <w:szCs w:val="24"/>
              </w:rPr>
            </w:pPr>
            <w:r w:rsidRPr="00DD26E2">
              <w:rPr>
                <w:iCs/>
                <w:sz w:val="24"/>
                <w:szCs w:val="24"/>
              </w:rPr>
              <w:t xml:space="preserve">бюджета </w:t>
            </w:r>
            <w:proofErr w:type="spellStart"/>
            <w:r w:rsidRPr="00DD26E2">
              <w:rPr>
                <w:iCs/>
                <w:sz w:val="24"/>
                <w:szCs w:val="24"/>
              </w:rPr>
              <w:t>Зональненского</w:t>
            </w:r>
            <w:proofErr w:type="spellEnd"/>
            <w:r w:rsidRPr="00DD26E2"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DD26E2" w:rsidRPr="00DD26E2" w:rsidRDefault="00DD26E2" w:rsidP="00DD26E2">
      <w:pPr>
        <w:jc w:val="right"/>
        <w:rPr>
          <w:sz w:val="24"/>
          <w:szCs w:val="24"/>
        </w:rPr>
      </w:pPr>
      <w:r w:rsidRPr="00DD26E2">
        <w:rPr>
          <w:sz w:val="24"/>
          <w:szCs w:val="24"/>
        </w:rPr>
        <w:t>за 2021 год</w:t>
      </w:r>
    </w:p>
    <w:p w:rsidR="00DD26E2" w:rsidRPr="00DD26E2" w:rsidRDefault="00DD26E2" w:rsidP="00DD26E2">
      <w:pPr>
        <w:tabs>
          <w:tab w:val="left" w:pos="5460"/>
        </w:tabs>
        <w:rPr>
          <w:b/>
          <w:sz w:val="24"/>
          <w:szCs w:val="24"/>
        </w:rPr>
      </w:pPr>
      <w:r w:rsidRPr="00DD26E2">
        <w:rPr>
          <w:b/>
          <w:sz w:val="24"/>
          <w:szCs w:val="24"/>
        </w:rPr>
        <w:tab/>
      </w:r>
    </w:p>
    <w:p w:rsidR="00DD26E2" w:rsidRPr="00DD26E2" w:rsidRDefault="00DD26E2" w:rsidP="00DD26E2">
      <w:pPr>
        <w:pStyle w:val="10"/>
        <w:rPr>
          <w:b/>
          <w:sz w:val="24"/>
          <w:szCs w:val="24"/>
        </w:rPr>
      </w:pPr>
    </w:p>
    <w:p w:rsidR="00DD26E2" w:rsidRPr="00DD26E2" w:rsidRDefault="00DD26E2" w:rsidP="00DD26E2">
      <w:pPr>
        <w:pStyle w:val="10"/>
        <w:ind w:left="6372"/>
        <w:jc w:val="left"/>
        <w:rPr>
          <w:b/>
          <w:bCs/>
          <w:sz w:val="24"/>
          <w:szCs w:val="24"/>
        </w:rPr>
      </w:pPr>
    </w:p>
    <w:p w:rsidR="00DD26E2" w:rsidRPr="00DD26E2" w:rsidRDefault="00DD26E2" w:rsidP="00DD26E2">
      <w:pPr>
        <w:jc w:val="center"/>
        <w:rPr>
          <w:b/>
          <w:bCs/>
          <w:sz w:val="24"/>
          <w:szCs w:val="24"/>
        </w:rPr>
      </w:pPr>
      <w:r w:rsidRPr="00DD26E2">
        <w:rPr>
          <w:b/>
          <w:bCs/>
          <w:sz w:val="24"/>
          <w:szCs w:val="24"/>
        </w:rPr>
        <w:t>Распределение бюджетных ассигнований по разделам, подразделам, целевым статьям (группам и подгруппам)  видов расходов  классификации расходов</w:t>
      </w:r>
    </w:p>
    <w:p w:rsidR="00DD26E2" w:rsidRPr="00DD26E2" w:rsidRDefault="00DD26E2" w:rsidP="00DD26E2">
      <w:pPr>
        <w:jc w:val="center"/>
        <w:rPr>
          <w:b/>
          <w:bCs/>
          <w:sz w:val="24"/>
          <w:szCs w:val="24"/>
        </w:rPr>
      </w:pPr>
      <w:r w:rsidRPr="00DD26E2">
        <w:rPr>
          <w:b/>
          <w:bCs/>
          <w:sz w:val="24"/>
          <w:szCs w:val="24"/>
        </w:rPr>
        <w:t>бюджета в ведомственной структуре расходов бюджета</w:t>
      </w:r>
    </w:p>
    <w:p w:rsidR="00DD26E2" w:rsidRPr="00DD26E2" w:rsidRDefault="00DD26E2" w:rsidP="00DD26E2">
      <w:pPr>
        <w:jc w:val="center"/>
        <w:rPr>
          <w:b/>
          <w:bCs/>
          <w:sz w:val="24"/>
          <w:szCs w:val="24"/>
        </w:rPr>
      </w:pPr>
      <w:proofErr w:type="spellStart"/>
      <w:r w:rsidRPr="00DD26E2">
        <w:rPr>
          <w:b/>
          <w:bCs/>
          <w:sz w:val="24"/>
          <w:szCs w:val="24"/>
        </w:rPr>
        <w:t>Зональненского</w:t>
      </w:r>
      <w:proofErr w:type="spellEnd"/>
      <w:r w:rsidRPr="00DD26E2">
        <w:rPr>
          <w:b/>
          <w:bCs/>
          <w:sz w:val="24"/>
          <w:szCs w:val="24"/>
        </w:rPr>
        <w:t xml:space="preserve"> сельского поселения  на 2021год</w:t>
      </w:r>
    </w:p>
    <w:p w:rsidR="00DD26E2" w:rsidRPr="00DD26E2" w:rsidRDefault="00DD26E2" w:rsidP="00DD26E2">
      <w:pPr>
        <w:jc w:val="center"/>
        <w:rPr>
          <w:sz w:val="24"/>
          <w:szCs w:val="24"/>
        </w:rPr>
      </w:pPr>
    </w:p>
    <w:p w:rsidR="00DD26E2" w:rsidRPr="00DD26E2" w:rsidRDefault="00DD26E2" w:rsidP="00DD26E2">
      <w:pPr>
        <w:jc w:val="right"/>
        <w:rPr>
          <w:sz w:val="24"/>
          <w:szCs w:val="24"/>
        </w:rPr>
      </w:pPr>
      <w:r w:rsidRPr="00DD26E2">
        <w:rPr>
          <w:sz w:val="24"/>
          <w:szCs w:val="24"/>
        </w:rPr>
        <w:t xml:space="preserve">  (тысяч рублей, далее - тыс</w:t>
      </w:r>
      <w:proofErr w:type="gramStart"/>
      <w:r w:rsidRPr="00DD26E2">
        <w:rPr>
          <w:sz w:val="24"/>
          <w:szCs w:val="24"/>
        </w:rPr>
        <w:t>.р</w:t>
      </w:r>
      <w:proofErr w:type="gramEnd"/>
      <w:r w:rsidRPr="00DD26E2">
        <w:rPr>
          <w:sz w:val="24"/>
          <w:szCs w:val="24"/>
        </w:rPr>
        <w:t>уб.)</w:t>
      </w:r>
    </w:p>
    <w:tbl>
      <w:tblPr>
        <w:tblW w:w="10554" w:type="dxa"/>
        <w:tblInd w:w="103" w:type="dxa"/>
        <w:tblLook w:val="04A0"/>
      </w:tblPr>
      <w:tblGrid>
        <w:gridCol w:w="2840"/>
        <w:gridCol w:w="871"/>
        <w:gridCol w:w="917"/>
        <w:gridCol w:w="1443"/>
        <w:gridCol w:w="576"/>
        <w:gridCol w:w="996"/>
        <w:gridCol w:w="1406"/>
        <w:gridCol w:w="1505"/>
      </w:tblGrid>
      <w:tr w:rsidR="00DD26E2" w:rsidRPr="00DD26E2" w:rsidTr="00DD26E2">
        <w:trPr>
          <w:trHeight w:val="630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 xml:space="preserve">Сумма в 2021 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 xml:space="preserve">Исполнено 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DD26E2" w:rsidRPr="00DD26E2" w:rsidTr="00DD26E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46347,9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41375,5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b/>
                <w:color w:val="000000"/>
                <w:sz w:val="24"/>
                <w:szCs w:val="24"/>
              </w:rPr>
              <w:t>89,3%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D26E2">
              <w:rPr>
                <w:b/>
                <w:bCs/>
                <w:color w:val="000000"/>
                <w:sz w:val="24"/>
                <w:szCs w:val="24"/>
              </w:rPr>
              <w:t>Зональненского</w:t>
            </w:r>
            <w:proofErr w:type="spellEnd"/>
            <w:r w:rsidRPr="00DD26E2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46347,9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41375,5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89,3%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9560,1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8770,4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91,7%</w:t>
            </w:r>
          </w:p>
        </w:tc>
      </w:tr>
      <w:tr w:rsidR="00DD26E2" w:rsidRPr="00DD26E2" w:rsidTr="00DD26E2">
        <w:trPr>
          <w:trHeight w:val="300"/>
        </w:trPr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1163,9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99,7%</w:t>
            </w:r>
          </w:p>
        </w:tc>
      </w:tr>
      <w:tr w:rsidR="00DD26E2" w:rsidRPr="00DD26E2" w:rsidTr="00DD26E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6E2" w:rsidRPr="00DD26E2" w:rsidRDefault="00DD26E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D26E2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DD26E2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1163,9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99,7%</w:t>
            </w:r>
          </w:p>
        </w:tc>
      </w:tr>
      <w:tr w:rsidR="00DD26E2" w:rsidRPr="00DD26E2" w:rsidTr="00DD26E2">
        <w:trPr>
          <w:trHeight w:val="15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DD26E2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D26E2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1163,9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99,7%</w:t>
            </w:r>
          </w:p>
        </w:tc>
      </w:tr>
      <w:tr w:rsidR="00DD26E2" w:rsidRPr="00DD26E2" w:rsidTr="00DD26E2">
        <w:trPr>
          <w:trHeight w:val="190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1163,9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99,7%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1163,9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99,7%</w:t>
            </w:r>
          </w:p>
        </w:tc>
      </w:tr>
      <w:tr w:rsidR="00DD26E2" w:rsidRPr="00DD26E2" w:rsidTr="00DD26E2">
        <w:trPr>
          <w:trHeight w:val="18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6882,2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94,7%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D26E2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DD26E2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6882,2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94,7%</w:t>
            </w:r>
          </w:p>
        </w:tc>
      </w:tr>
      <w:tr w:rsidR="00DD26E2" w:rsidRPr="00DD26E2" w:rsidTr="00DD26E2">
        <w:trPr>
          <w:trHeight w:val="15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D26E2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D26E2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6882,2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94,7%</w:t>
            </w:r>
          </w:p>
        </w:tc>
      </w:tr>
      <w:tr w:rsidR="00DD26E2" w:rsidRPr="00DD26E2" w:rsidTr="00DD26E2">
        <w:trPr>
          <w:trHeight w:val="220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2601,7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2214,7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85,1%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2601,7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2214,7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85,1%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D26E2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DD26E2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0,0%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0,0%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0,0%</w:t>
            </w:r>
          </w:p>
        </w:tc>
      </w:tr>
      <w:tr w:rsidR="00DD26E2" w:rsidRPr="00DD26E2" w:rsidTr="00DD26E2">
        <w:trPr>
          <w:trHeight w:val="12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0,0%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1123,6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724,3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64,5%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D26E2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DD26E2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1123,6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724,3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64,5%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184,7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181,5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98,3%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161,5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98,1%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161,5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98,1%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187,8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187,8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187,8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187,8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187,8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187,8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76,2%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Фонд непредвиденных расходов Администрации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50,0%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50,0%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50,0%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214,0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91,1%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78,6%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78,6%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100,00%</w:t>
            </w:r>
          </w:p>
        </w:tc>
      </w:tr>
      <w:tr w:rsidR="00DD26E2" w:rsidRPr="00DD26E2" w:rsidTr="00DD26E2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Основное мероприятие «Формирование благоприятной  социальной  среды Томского 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7638600000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0,0%</w:t>
            </w:r>
          </w:p>
        </w:tc>
      </w:tr>
      <w:tr w:rsidR="00DD26E2" w:rsidRPr="00DD26E2" w:rsidTr="00DD26E2">
        <w:trPr>
          <w:trHeight w:val="12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 xml:space="preserve">Организация перевозок тел (останков) умерших или погибших в места проведения патологоанатомического  </w:t>
            </w:r>
            <w:r w:rsidRPr="00DD26E2">
              <w:rPr>
                <w:color w:val="000000"/>
                <w:sz w:val="24"/>
                <w:szCs w:val="24"/>
              </w:rPr>
              <w:lastRenderedPageBreak/>
              <w:t>вскрытия судебно-медицинской экспертизы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7638600010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0,0%</w:t>
            </w:r>
          </w:p>
        </w:tc>
      </w:tr>
      <w:tr w:rsidR="00DD26E2" w:rsidRPr="00DD26E2" w:rsidTr="00DD26E2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lastRenderedPageBreak/>
              <w:t>Закупка  товаров,  работ  и  услуг  для 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7638600010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0,0%</w:t>
            </w:r>
          </w:p>
        </w:tc>
      </w:tr>
      <w:tr w:rsidR="00DD26E2" w:rsidRPr="00DD26E2" w:rsidTr="00DD26E2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7638600010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25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220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D26E2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47,1%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47,1%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D26E2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DD26E2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47,1%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47,1%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47,1%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47,1%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7934,9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7326,8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92,3%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7804,9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7196,8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92,2%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D26E2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DD26E2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5134,4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4553,4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88,7%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4253,8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4413,6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103,8%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 xml:space="preserve">Содержание </w:t>
            </w:r>
            <w:r w:rsidRPr="00DD26E2">
              <w:rPr>
                <w:color w:val="000000"/>
                <w:sz w:val="24"/>
                <w:szCs w:val="24"/>
              </w:rPr>
              <w:lastRenderedPageBreak/>
              <w:t>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4253,8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4223,3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99,3%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4253,8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4223,3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99,3%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4253,8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4223,3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99,3%</w:t>
            </w:r>
          </w:p>
        </w:tc>
      </w:tr>
      <w:tr w:rsidR="00DD26E2" w:rsidRPr="00DD26E2" w:rsidTr="00DD26E2">
        <w:trPr>
          <w:trHeight w:val="12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DD26E2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D26E2">
              <w:rPr>
                <w:color w:val="000000"/>
                <w:sz w:val="24"/>
                <w:szCs w:val="24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139,8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139,8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100,00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139,8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139,8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139,8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139,8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12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Муниципальная программа "Формирование современной среды и архитектурного облика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8000000000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2643,4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99%</w:t>
            </w:r>
          </w:p>
        </w:tc>
      </w:tr>
      <w:tr w:rsidR="00DD26E2" w:rsidRPr="00DD26E2" w:rsidTr="00DD26E2">
        <w:trPr>
          <w:trHeight w:val="12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Подпрограмма "Развитие дорожной деятельности и обеспечение транспортной доступности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8010000000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2643,4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99%</w:t>
            </w:r>
          </w:p>
        </w:tc>
      </w:tr>
      <w:tr w:rsidR="00DD26E2" w:rsidRPr="00DD26E2" w:rsidTr="00DD26E2">
        <w:trPr>
          <w:trHeight w:val="15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Основное мероприятие "Капитальный ремонт и (или) ремонт автомобильных дорог общего пользования местного значения в границах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801820000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2643,4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99%</w:t>
            </w:r>
          </w:p>
        </w:tc>
      </w:tr>
      <w:tr w:rsidR="00DD26E2" w:rsidRPr="00DD26E2" w:rsidTr="00DD26E2">
        <w:trPr>
          <w:trHeight w:val="12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2643,4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99%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both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2643,4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99%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both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2643,4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99%</w:t>
            </w:r>
          </w:p>
        </w:tc>
      </w:tr>
      <w:tr w:rsidR="00DD26E2" w:rsidRPr="00DD26E2" w:rsidTr="00DD26E2">
        <w:trPr>
          <w:trHeight w:val="12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both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25,7%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both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25,7%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both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25,7%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14840,7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13716,6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92,4%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131,5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77,4%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D26E2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DD26E2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131,5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77,4%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131,5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77,4%</w:t>
            </w:r>
          </w:p>
        </w:tc>
      </w:tr>
      <w:tr w:rsidR="00DD26E2" w:rsidRPr="00DD26E2" w:rsidTr="00DD26E2">
        <w:trPr>
          <w:trHeight w:val="12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131,5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77,4%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131,5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77,4%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131,5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77,4%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0,0%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0,0%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0,0%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1389,8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1237,4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89,0%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D26E2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DD26E2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1389,8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1237,4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89,0%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1389,8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1237,4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89,0%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460,5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460,4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99,9%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460,5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460,4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99,9%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460,5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460,4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99,9%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929,4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777,0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83,6%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929,4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777,0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83,6%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929,4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777,0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83,6%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13280,8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12347,7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93,0%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D26E2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DD26E2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13280,8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12347,7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93,0%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13280,8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12347,7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93,0%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lastRenderedPageBreak/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4553,8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26E2">
              <w:rPr>
                <w:bCs/>
                <w:color w:val="000000"/>
                <w:sz w:val="24"/>
                <w:szCs w:val="24"/>
              </w:rPr>
              <w:t>3803,2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83,5%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4553,8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3803,2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83,5%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4553,8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3803,2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83,5%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8454,0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8271,5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97,8%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8454,0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8271,5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97,8%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8454,0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8271,5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97,8%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6495,1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6476,7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99,7%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6495,1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6476,7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99,7%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D26E2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DD26E2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6495,1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6476,7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99,7%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2056,9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2038,5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99,1%</w:t>
            </w:r>
          </w:p>
        </w:tc>
      </w:tr>
      <w:tr w:rsidR="00DD26E2" w:rsidRPr="00DD26E2" w:rsidTr="00DD26E2">
        <w:trPr>
          <w:trHeight w:val="12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lastRenderedPageBreak/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2056,9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2038,5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99,1%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7618100000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2056,9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2038,5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99,1%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1979,8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1979,8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1979,8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1979,8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58,7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76,1%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58,7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76,1%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right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7618700200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5235,4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2877,3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55,0%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D26E2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DD26E2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59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proofErr w:type="gramStart"/>
            <w:r w:rsidRPr="00DD26E2">
              <w:rPr>
                <w:color w:val="000000"/>
                <w:sz w:val="24"/>
                <w:szCs w:val="24"/>
              </w:rPr>
              <w:lastRenderedPageBreak/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DD26E2">
              <w:rPr>
                <w:color w:val="000000"/>
                <w:sz w:val="24"/>
                <w:szCs w:val="24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D26E2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DD26E2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D26E2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D26E2">
              <w:rPr>
                <w:color w:val="000000"/>
                <w:sz w:val="24"/>
                <w:szCs w:val="24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4991,4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2633,3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52,8%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2633,3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99,9%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 xml:space="preserve">Подпрограмма "Социальная защита населения Томского </w:t>
            </w:r>
            <w:r w:rsidRPr="00DD26E2">
              <w:rPr>
                <w:color w:val="000000"/>
                <w:sz w:val="24"/>
                <w:szCs w:val="24"/>
              </w:rPr>
              <w:lastRenderedPageBreak/>
              <w:t>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2633,3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99,9%</w:t>
            </w:r>
          </w:p>
        </w:tc>
      </w:tr>
      <w:tr w:rsidR="00DD26E2" w:rsidRPr="00DD26E2" w:rsidTr="00DD26E2">
        <w:trPr>
          <w:trHeight w:val="220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lastRenderedPageBreak/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7638100000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2633,3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99,9%</w:t>
            </w:r>
          </w:p>
        </w:tc>
      </w:tr>
      <w:tr w:rsidR="00DD26E2" w:rsidRPr="00DD26E2" w:rsidTr="00DD26E2">
        <w:trPr>
          <w:trHeight w:val="18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2633,3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99,9%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2633,3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99,9%</w:t>
            </w:r>
          </w:p>
        </w:tc>
      </w:tr>
      <w:tr w:rsidR="00DD26E2" w:rsidRPr="00DD26E2" w:rsidTr="00DD26E2">
        <w:trPr>
          <w:trHeight w:val="12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2633,3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99,9%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D26E2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DD26E2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2354,3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2354,3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0,0%</w:t>
            </w:r>
          </w:p>
        </w:tc>
      </w:tr>
      <w:tr w:rsidR="00DD26E2" w:rsidRPr="00DD26E2" w:rsidTr="00DD26E2">
        <w:trPr>
          <w:trHeight w:val="12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right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2354,3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0,0%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12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 xml:space="preserve">Подпрограмма «Повышение качества жизни отдельных категорий жителей и формирование благоприятной </w:t>
            </w:r>
            <w:r w:rsidRPr="00DD26E2">
              <w:rPr>
                <w:color w:val="000000"/>
                <w:sz w:val="24"/>
                <w:szCs w:val="24"/>
              </w:rPr>
              <w:lastRenderedPageBreak/>
              <w:t>социальной среды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lastRenderedPageBreak/>
              <w:t xml:space="preserve">Основное мероприятие «Повышение </w:t>
            </w:r>
            <w:proofErr w:type="gramStart"/>
            <w:r w:rsidRPr="00DD26E2">
              <w:rPr>
                <w:color w:val="000000"/>
                <w:sz w:val="24"/>
                <w:szCs w:val="24"/>
              </w:rPr>
              <w:t>качества жизни граждан старшего поколения Томского района</w:t>
            </w:r>
            <w:proofErr w:type="gramEnd"/>
            <w:r w:rsidRPr="00DD26E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457,6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457,6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457,6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457,6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D26E2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DD26E2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457,6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457,6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427,6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427,6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427,6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427,6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D26E2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D26E2">
              <w:rPr>
                <w:color w:val="000000"/>
                <w:sz w:val="24"/>
                <w:szCs w:val="24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D26E2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DD26E2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0,0%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0,0%</w:t>
            </w:r>
          </w:p>
        </w:tc>
      </w:tr>
      <w:tr w:rsidR="00DD26E2" w:rsidRPr="00DD26E2" w:rsidTr="00DD26E2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0,0%</w:t>
            </w:r>
          </w:p>
        </w:tc>
      </w:tr>
      <w:tr w:rsidR="00DD26E2" w:rsidRPr="00DD26E2" w:rsidTr="00DD26E2">
        <w:trPr>
          <w:trHeight w:val="94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0,0%</w:t>
            </w:r>
          </w:p>
        </w:tc>
      </w:tr>
      <w:tr w:rsidR="00DD26E2" w:rsidRPr="00DD26E2" w:rsidTr="00DD26E2">
        <w:trPr>
          <w:trHeight w:val="12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12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100, 0%</w:t>
            </w:r>
          </w:p>
        </w:tc>
      </w:tr>
      <w:tr w:rsidR="00DD26E2" w:rsidRPr="00DD26E2" w:rsidTr="00DD26E2">
        <w:trPr>
          <w:trHeight w:val="15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6E2" w:rsidRPr="00DD26E2" w:rsidRDefault="00DD26E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D26E2">
              <w:rPr>
                <w:rFonts w:ascii="Calibri" w:hAnsi="Calibri"/>
                <w:color w:val="000000"/>
                <w:sz w:val="24"/>
                <w:szCs w:val="24"/>
              </w:rPr>
              <w:t>100,0%</w:t>
            </w:r>
          </w:p>
        </w:tc>
      </w:tr>
    </w:tbl>
    <w:p w:rsidR="00DD26E2" w:rsidRPr="00DD26E2" w:rsidRDefault="00DD26E2" w:rsidP="00DD26E2">
      <w:pPr>
        <w:rPr>
          <w:sz w:val="24"/>
          <w:szCs w:val="24"/>
        </w:rPr>
      </w:pPr>
    </w:p>
    <w:p w:rsidR="00DD26E2" w:rsidRPr="00DD26E2" w:rsidRDefault="00DD26E2" w:rsidP="00DD26E2">
      <w:pPr>
        <w:rPr>
          <w:sz w:val="24"/>
          <w:szCs w:val="24"/>
        </w:rPr>
      </w:pPr>
    </w:p>
    <w:p w:rsidR="00DD26E2" w:rsidRPr="00DD26E2" w:rsidRDefault="00DD26E2" w:rsidP="00DD26E2">
      <w:pPr>
        <w:rPr>
          <w:sz w:val="24"/>
          <w:szCs w:val="24"/>
        </w:rPr>
      </w:pPr>
    </w:p>
    <w:p w:rsidR="00DD26E2" w:rsidRPr="00DD26E2" w:rsidRDefault="00DD26E2" w:rsidP="00DD26E2">
      <w:pPr>
        <w:rPr>
          <w:sz w:val="24"/>
          <w:szCs w:val="24"/>
        </w:rPr>
      </w:pPr>
    </w:p>
    <w:p w:rsidR="00DD26E2" w:rsidRPr="00DD26E2" w:rsidRDefault="00DD26E2" w:rsidP="00DD26E2">
      <w:pPr>
        <w:rPr>
          <w:sz w:val="24"/>
          <w:szCs w:val="24"/>
        </w:rPr>
      </w:pPr>
    </w:p>
    <w:p w:rsidR="00DD26E2" w:rsidRPr="00DD26E2" w:rsidRDefault="00DD26E2" w:rsidP="00DD26E2">
      <w:pPr>
        <w:pStyle w:val="10"/>
        <w:ind w:left="6372"/>
        <w:rPr>
          <w:b/>
          <w:sz w:val="24"/>
          <w:szCs w:val="24"/>
        </w:rPr>
      </w:pPr>
      <w:r w:rsidRPr="00DD26E2">
        <w:rPr>
          <w:sz w:val="24"/>
          <w:szCs w:val="24"/>
        </w:rPr>
        <w:t xml:space="preserve">Приложение №4 </w:t>
      </w:r>
    </w:p>
    <w:tbl>
      <w:tblPr>
        <w:tblW w:w="10230" w:type="dxa"/>
        <w:tblInd w:w="91" w:type="dxa"/>
        <w:tblLayout w:type="fixed"/>
        <w:tblLook w:val="04A0"/>
      </w:tblPr>
      <w:tblGrid>
        <w:gridCol w:w="10230"/>
      </w:tblGrid>
      <w:tr w:rsidR="00DD26E2" w:rsidRPr="00DD26E2" w:rsidTr="00DD26E2">
        <w:trPr>
          <w:trHeight w:val="285"/>
        </w:trPr>
        <w:tc>
          <w:tcPr>
            <w:tcW w:w="10223" w:type="dxa"/>
            <w:vAlign w:val="center"/>
            <w:hideMark/>
          </w:tcPr>
          <w:p w:rsidR="00DD26E2" w:rsidRPr="00DD26E2" w:rsidRDefault="00DD26E2">
            <w:pPr>
              <w:pStyle w:val="10"/>
              <w:ind w:left="6372"/>
              <w:rPr>
                <w:iCs/>
                <w:sz w:val="24"/>
                <w:szCs w:val="24"/>
              </w:rPr>
            </w:pPr>
            <w:r w:rsidRPr="00DD26E2">
              <w:rPr>
                <w:iCs/>
                <w:sz w:val="24"/>
                <w:szCs w:val="24"/>
              </w:rPr>
              <w:t xml:space="preserve">                   к отчету об исполнении</w:t>
            </w:r>
          </w:p>
        </w:tc>
      </w:tr>
      <w:tr w:rsidR="00DD26E2" w:rsidRPr="00DD26E2" w:rsidTr="00DD26E2">
        <w:trPr>
          <w:trHeight w:val="299"/>
        </w:trPr>
        <w:tc>
          <w:tcPr>
            <w:tcW w:w="10223" w:type="dxa"/>
            <w:noWrap/>
            <w:vAlign w:val="center"/>
            <w:hideMark/>
          </w:tcPr>
          <w:p w:rsidR="00DD26E2" w:rsidRPr="00DD26E2" w:rsidRDefault="00DD26E2">
            <w:pPr>
              <w:jc w:val="right"/>
              <w:rPr>
                <w:iCs/>
                <w:sz w:val="24"/>
                <w:szCs w:val="24"/>
              </w:rPr>
            </w:pPr>
            <w:r w:rsidRPr="00DD26E2">
              <w:rPr>
                <w:iCs/>
                <w:sz w:val="24"/>
                <w:szCs w:val="24"/>
              </w:rPr>
              <w:t xml:space="preserve">бюджета </w:t>
            </w:r>
            <w:proofErr w:type="spellStart"/>
            <w:r w:rsidRPr="00DD26E2">
              <w:rPr>
                <w:iCs/>
                <w:sz w:val="24"/>
                <w:szCs w:val="24"/>
              </w:rPr>
              <w:t>Зональненского</w:t>
            </w:r>
            <w:proofErr w:type="spellEnd"/>
            <w:r w:rsidRPr="00DD26E2"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DD26E2" w:rsidRPr="00DD26E2" w:rsidRDefault="00DD26E2" w:rsidP="00DD26E2">
      <w:pPr>
        <w:jc w:val="right"/>
        <w:rPr>
          <w:sz w:val="24"/>
          <w:szCs w:val="24"/>
        </w:rPr>
      </w:pPr>
      <w:r w:rsidRPr="00DD26E2">
        <w:rPr>
          <w:sz w:val="24"/>
          <w:szCs w:val="24"/>
        </w:rPr>
        <w:t>за 2021 год</w:t>
      </w:r>
    </w:p>
    <w:p w:rsidR="00DD26E2" w:rsidRPr="00DD26E2" w:rsidRDefault="00DD26E2" w:rsidP="00DD26E2">
      <w:pPr>
        <w:tabs>
          <w:tab w:val="left" w:pos="5460"/>
        </w:tabs>
        <w:rPr>
          <w:b/>
          <w:sz w:val="24"/>
          <w:szCs w:val="24"/>
        </w:rPr>
      </w:pPr>
      <w:r w:rsidRPr="00DD26E2">
        <w:rPr>
          <w:b/>
          <w:sz w:val="24"/>
          <w:szCs w:val="24"/>
        </w:rPr>
        <w:tab/>
      </w:r>
    </w:p>
    <w:p w:rsidR="00DD26E2" w:rsidRPr="00DD26E2" w:rsidRDefault="00DD26E2" w:rsidP="00DD26E2">
      <w:pPr>
        <w:pStyle w:val="10"/>
        <w:ind w:left="6372"/>
        <w:jc w:val="left"/>
        <w:rPr>
          <w:b/>
          <w:sz w:val="24"/>
          <w:szCs w:val="24"/>
        </w:rPr>
      </w:pPr>
    </w:p>
    <w:p w:rsidR="00DD26E2" w:rsidRPr="00DD26E2" w:rsidRDefault="00DD26E2" w:rsidP="00DD26E2">
      <w:pPr>
        <w:rPr>
          <w:sz w:val="24"/>
          <w:szCs w:val="24"/>
        </w:rPr>
      </w:pPr>
    </w:p>
    <w:tbl>
      <w:tblPr>
        <w:tblW w:w="10138" w:type="dxa"/>
        <w:tblInd w:w="91" w:type="dxa"/>
        <w:tblLook w:val="04A0"/>
      </w:tblPr>
      <w:tblGrid>
        <w:gridCol w:w="10138"/>
      </w:tblGrid>
      <w:tr w:rsidR="00DD26E2" w:rsidRPr="00DD26E2" w:rsidTr="00DD26E2">
        <w:trPr>
          <w:trHeight w:val="315"/>
        </w:trPr>
        <w:tc>
          <w:tcPr>
            <w:tcW w:w="10138" w:type="dxa"/>
            <w:shd w:val="clear" w:color="auto" w:fill="FFFFFF"/>
            <w:noWrap/>
            <w:vAlign w:val="center"/>
            <w:hideMark/>
          </w:tcPr>
          <w:p w:rsidR="00DD26E2" w:rsidRPr="00DD26E2" w:rsidRDefault="00DD26E2">
            <w:pPr>
              <w:jc w:val="center"/>
              <w:rPr>
                <w:b/>
                <w:bCs/>
                <w:sz w:val="24"/>
                <w:szCs w:val="24"/>
              </w:rPr>
            </w:pPr>
            <w:r w:rsidRPr="00DD26E2">
              <w:rPr>
                <w:b/>
                <w:bCs/>
                <w:sz w:val="24"/>
                <w:szCs w:val="24"/>
              </w:rPr>
              <w:t>Отчет о межбюджетных трансфертах,</w:t>
            </w:r>
          </w:p>
        </w:tc>
      </w:tr>
      <w:tr w:rsidR="00DD26E2" w:rsidRPr="00DD26E2" w:rsidTr="00DD26E2">
        <w:trPr>
          <w:trHeight w:val="315"/>
        </w:trPr>
        <w:tc>
          <w:tcPr>
            <w:tcW w:w="10138" w:type="dxa"/>
            <w:shd w:val="clear" w:color="auto" w:fill="FFFFFF"/>
            <w:noWrap/>
            <w:vAlign w:val="center"/>
            <w:hideMark/>
          </w:tcPr>
          <w:p w:rsidR="00DD26E2" w:rsidRPr="00DD26E2" w:rsidRDefault="00DD26E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DD26E2">
              <w:rPr>
                <w:b/>
                <w:bCs/>
                <w:sz w:val="24"/>
                <w:szCs w:val="24"/>
              </w:rPr>
              <w:t>полученных</w:t>
            </w:r>
            <w:proofErr w:type="gramEnd"/>
            <w:r w:rsidRPr="00DD26E2">
              <w:rPr>
                <w:b/>
                <w:bCs/>
                <w:sz w:val="24"/>
                <w:szCs w:val="24"/>
              </w:rPr>
              <w:t xml:space="preserve"> бюджетом </w:t>
            </w:r>
            <w:proofErr w:type="spellStart"/>
            <w:r w:rsidRPr="00DD26E2">
              <w:rPr>
                <w:b/>
                <w:bCs/>
                <w:sz w:val="24"/>
                <w:szCs w:val="24"/>
              </w:rPr>
              <w:t>Зональненского</w:t>
            </w:r>
            <w:proofErr w:type="spellEnd"/>
            <w:r w:rsidRPr="00DD26E2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</w:p>
        </w:tc>
      </w:tr>
    </w:tbl>
    <w:p w:rsidR="00DD26E2" w:rsidRPr="00DD26E2" w:rsidRDefault="00DD26E2" w:rsidP="00DD26E2">
      <w:pPr>
        <w:pStyle w:val="10"/>
        <w:tabs>
          <w:tab w:val="left" w:pos="5940"/>
          <w:tab w:val="right" w:pos="10205"/>
        </w:tabs>
        <w:ind w:right="-425"/>
        <w:rPr>
          <w:i/>
          <w:sz w:val="24"/>
          <w:szCs w:val="24"/>
        </w:rPr>
      </w:pPr>
      <w:r w:rsidRPr="00DD26E2">
        <w:rPr>
          <w:i/>
          <w:sz w:val="24"/>
          <w:szCs w:val="24"/>
        </w:rPr>
        <w:tab/>
        <w:t>(тыс. руб.)</w:t>
      </w:r>
    </w:p>
    <w:p w:rsidR="00DD26E2" w:rsidRPr="00DD26E2" w:rsidRDefault="00DD26E2" w:rsidP="00DD26E2">
      <w:pPr>
        <w:rPr>
          <w:sz w:val="24"/>
          <w:szCs w:val="24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6690"/>
        <w:gridCol w:w="1072"/>
        <w:gridCol w:w="1196"/>
        <w:gridCol w:w="1317"/>
      </w:tblGrid>
      <w:tr w:rsidR="00DD26E2" w:rsidRPr="00DD26E2" w:rsidTr="00DD26E2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Объем на 2021 год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DD26E2" w:rsidRPr="00DD26E2" w:rsidTr="00DD26E2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D26E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D26E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D26E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D26E2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D26E2" w:rsidRPr="00DD26E2" w:rsidTr="00DD26E2">
        <w:trPr>
          <w:trHeight w:val="585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E2" w:rsidRPr="00DD26E2" w:rsidRDefault="00DD2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21471,9</w:t>
            </w:r>
          </w:p>
          <w:p w:rsidR="00DD26E2" w:rsidRPr="00DD26E2" w:rsidRDefault="00DD2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18741,2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87,3%</w:t>
            </w:r>
          </w:p>
        </w:tc>
      </w:tr>
      <w:tr w:rsidR="00DD26E2" w:rsidRPr="00DD26E2" w:rsidTr="00DD26E2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rPr>
                <w:b/>
                <w:i/>
                <w:sz w:val="24"/>
                <w:szCs w:val="24"/>
              </w:rPr>
            </w:pPr>
            <w:r w:rsidRPr="00DD26E2">
              <w:rPr>
                <w:b/>
                <w:i/>
                <w:sz w:val="24"/>
                <w:szCs w:val="24"/>
              </w:rPr>
              <w:t>Субвенция: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D26E2">
              <w:rPr>
                <w:b/>
                <w:i/>
                <w:sz w:val="24"/>
                <w:szCs w:val="24"/>
              </w:rPr>
              <w:t>3207,0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i/>
                <w:iCs/>
                <w:color w:val="000000"/>
                <w:sz w:val="24"/>
                <w:szCs w:val="24"/>
              </w:rPr>
              <w:t>3203,2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color w:val="000000"/>
                <w:sz w:val="24"/>
                <w:szCs w:val="24"/>
              </w:rPr>
              <w:t>99,9%</w:t>
            </w:r>
          </w:p>
        </w:tc>
      </w:tr>
      <w:tr w:rsidR="00DD26E2" w:rsidRPr="00DD26E2" w:rsidTr="00DD26E2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 xml:space="preserve">На осуществление полномочий по первичному воинскому учету </w:t>
            </w:r>
            <w:r w:rsidRPr="00DD26E2">
              <w:rPr>
                <w:sz w:val="24"/>
                <w:szCs w:val="24"/>
              </w:rPr>
              <w:lastRenderedPageBreak/>
              <w:t>на территориях, где отсутствуют военные комиссариаты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lastRenderedPageBreak/>
              <w:t>569,9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26E2">
              <w:rPr>
                <w:bCs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tabs>
                <w:tab w:val="left" w:pos="1224"/>
              </w:tabs>
              <w:ind w:right="-108"/>
              <w:jc w:val="both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lastRenderedPageBreak/>
              <w:t xml:space="preserve">Субвенция на предоставление жилых помещений </w:t>
            </w:r>
          </w:p>
          <w:p w:rsidR="00DD26E2" w:rsidRPr="00DD26E2" w:rsidRDefault="00DD26E2">
            <w:pPr>
              <w:tabs>
                <w:tab w:val="left" w:pos="1224"/>
              </w:tabs>
              <w:ind w:right="-108"/>
              <w:jc w:val="both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 xml:space="preserve">детям-сиротам и детям, оставшимся </w:t>
            </w:r>
            <w:proofErr w:type="gramStart"/>
            <w:r w:rsidRPr="00DD26E2">
              <w:rPr>
                <w:sz w:val="24"/>
                <w:szCs w:val="24"/>
              </w:rPr>
              <w:t>без</w:t>
            </w:r>
            <w:proofErr w:type="gramEnd"/>
            <w:r w:rsidRPr="00DD26E2">
              <w:rPr>
                <w:sz w:val="24"/>
                <w:szCs w:val="24"/>
              </w:rPr>
              <w:t xml:space="preserve"> </w:t>
            </w:r>
          </w:p>
          <w:p w:rsidR="00DD26E2" w:rsidRPr="00DD26E2" w:rsidRDefault="00DD26E2">
            <w:pPr>
              <w:tabs>
                <w:tab w:val="left" w:pos="1224"/>
              </w:tabs>
              <w:ind w:right="-108"/>
              <w:jc w:val="both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 xml:space="preserve">попечения родителей, лицам из их числа </w:t>
            </w:r>
            <w:proofErr w:type="gramStart"/>
            <w:r w:rsidRPr="00DD26E2">
              <w:rPr>
                <w:sz w:val="24"/>
                <w:szCs w:val="24"/>
              </w:rPr>
              <w:t>по</w:t>
            </w:r>
            <w:proofErr w:type="gramEnd"/>
            <w:r w:rsidRPr="00DD26E2">
              <w:rPr>
                <w:sz w:val="24"/>
                <w:szCs w:val="24"/>
              </w:rPr>
              <w:t xml:space="preserve"> </w:t>
            </w:r>
          </w:p>
          <w:p w:rsidR="00DD26E2" w:rsidRPr="00DD26E2" w:rsidRDefault="00DD26E2">
            <w:pPr>
              <w:tabs>
                <w:tab w:val="left" w:pos="1224"/>
              </w:tabs>
              <w:ind w:right="-108"/>
              <w:jc w:val="both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 xml:space="preserve">договорам найма </w:t>
            </w:r>
            <w:proofErr w:type="gramStart"/>
            <w:r w:rsidRPr="00DD26E2">
              <w:rPr>
                <w:sz w:val="24"/>
                <w:szCs w:val="24"/>
              </w:rPr>
              <w:t>специализированных</w:t>
            </w:r>
            <w:proofErr w:type="gramEnd"/>
            <w:r w:rsidRPr="00DD26E2">
              <w:rPr>
                <w:sz w:val="24"/>
                <w:szCs w:val="24"/>
              </w:rPr>
              <w:t xml:space="preserve"> </w:t>
            </w:r>
          </w:p>
          <w:p w:rsidR="00DD26E2" w:rsidRPr="00DD26E2" w:rsidRDefault="00DD26E2">
            <w:pPr>
              <w:tabs>
                <w:tab w:val="left" w:pos="1224"/>
              </w:tabs>
              <w:ind w:right="-108"/>
              <w:jc w:val="both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жилых помещений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E2" w:rsidRPr="00DD26E2" w:rsidRDefault="00DD26E2">
            <w:pPr>
              <w:pStyle w:val="10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2637,1</w:t>
            </w:r>
          </w:p>
          <w:p w:rsidR="00DD26E2" w:rsidRPr="00DD26E2" w:rsidRDefault="00DD2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pStyle w:val="10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2633,3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pStyle w:val="10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99,9%</w:t>
            </w:r>
          </w:p>
        </w:tc>
      </w:tr>
      <w:tr w:rsidR="00DD26E2" w:rsidRPr="00DD26E2" w:rsidTr="00DD26E2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DD26E2">
              <w:rPr>
                <w:b/>
                <w:i/>
                <w:color w:val="000000"/>
                <w:sz w:val="24"/>
                <w:szCs w:val="24"/>
              </w:rPr>
              <w:t>Субсидии: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pStyle w:val="10"/>
              <w:rPr>
                <w:b/>
                <w:i/>
                <w:sz w:val="24"/>
                <w:szCs w:val="24"/>
              </w:rPr>
            </w:pPr>
            <w:r w:rsidRPr="00DD26E2">
              <w:rPr>
                <w:b/>
                <w:i/>
                <w:sz w:val="24"/>
                <w:szCs w:val="24"/>
              </w:rPr>
              <w:t>504,7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i/>
                <w:iCs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i/>
                <w:iCs/>
                <w:color w:val="000000"/>
                <w:sz w:val="24"/>
                <w:szCs w:val="24"/>
              </w:rPr>
              <w:t>96,4%</w:t>
            </w:r>
          </w:p>
        </w:tc>
      </w:tr>
      <w:tr w:rsidR="00DD26E2" w:rsidRPr="00DD26E2" w:rsidTr="00DD26E2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pStyle w:val="10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77,1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58,7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DD26E2">
              <w:rPr>
                <w:bCs/>
                <w:iCs/>
                <w:color w:val="000000"/>
                <w:sz w:val="24"/>
                <w:szCs w:val="24"/>
              </w:rPr>
              <w:t>76,1%</w:t>
            </w:r>
          </w:p>
        </w:tc>
      </w:tr>
      <w:tr w:rsidR="00DD26E2" w:rsidRPr="00DD26E2" w:rsidTr="00DD26E2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tabs>
                <w:tab w:val="left" w:pos="1224"/>
              </w:tabs>
              <w:ind w:right="-108"/>
              <w:jc w:val="both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На обеспечение условий для развития</w:t>
            </w:r>
          </w:p>
          <w:p w:rsidR="00DD26E2" w:rsidRPr="00DD26E2" w:rsidRDefault="00DD26E2">
            <w:pPr>
              <w:tabs>
                <w:tab w:val="left" w:pos="1224"/>
              </w:tabs>
              <w:ind w:right="-108"/>
              <w:jc w:val="both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 xml:space="preserve"> физической культуры и массового спорта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pStyle w:val="10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427,6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pStyle w:val="10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427,6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pStyle w:val="10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4"/>
                <w:szCs w:val="24"/>
              </w:rPr>
            </w:pPr>
            <w:r w:rsidRPr="00DD26E2">
              <w:rPr>
                <w:b/>
                <w:i/>
                <w:sz w:val="24"/>
                <w:szCs w:val="24"/>
              </w:rPr>
              <w:t>Иной межбюджетный трансферт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D26E2">
              <w:rPr>
                <w:b/>
                <w:i/>
                <w:sz w:val="24"/>
                <w:szCs w:val="24"/>
              </w:rPr>
              <w:t>8391,6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i/>
                <w:iCs/>
                <w:color w:val="000000"/>
                <w:sz w:val="24"/>
                <w:szCs w:val="24"/>
              </w:rPr>
              <w:t>5683,1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i/>
                <w:iCs/>
                <w:color w:val="000000"/>
                <w:sz w:val="24"/>
                <w:szCs w:val="24"/>
              </w:rPr>
              <w:t>67,7%</w:t>
            </w:r>
          </w:p>
        </w:tc>
      </w:tr>
      <w:tr w:rsidR="00DD26E2" w:rsidRPr="00DD26E2" w:rsidTr="00DD26E2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Иной межбюджетный трансферт на капитальный ремонт и (или) ремонт автомобильных дорог общего пользования местного  значения в границах муниципальных районов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pStyle w:val="10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2670,5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2643,4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99,0%</w:t>
            </w:r>
          </w:p>
        </w:tc>
      </w:tr>
      <w:tr w:rsidR="00DD26E2" w:rsidRPr="00DD26E2" w:rsidTr="00DD26E2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 xml:space="preserve">Иной межбюджетный трансферт на исполнение судебных актов по обеспечению жилыми помещениями детей-сирот и детей, оставшихся без попечения родителей, а также лиц из их числа, для обеспечения </w:t>
            </w:r>
            <w:proofErr w:type="spellStart"/>
            <w:r w:rsidRPr="00DD26E2">
              <w:rPr>
                <w:color w:val="000000"/>
                <w:sz w:val="24"/>
                <w:szCs w:val="24"/>
              </w:rPr>
              <w:t>Хачатурову</w:t>
            </w:r>
            <w:proofErr w:type="spellEnd"/>
            <w:r w:rsidRPr="00DD26E2">
              <w:rPr>
                <w:color w:val="000000"/>
                <w:sz w:val="24"/>
                <w:szCs w:val="24"/>
              </w:rPr>
              <w:t xml:space="preserve"> Т.Ю. жилым помещением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pStyle w:val="10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2354,3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DD26E2" w:rsidRPr="00DD26E2" w:rsidTr="00DD26E2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tabs>
                <w:tab w:val="left" w:pos="1224"/>
              </w:tabs>
              <w:ind w:right="114"/>
              <w:jc w:val="both"/>
              <w:rPr>
                <w:sz w:val="24"/>
                <w:szCs w:val="24"/>
              </w:rPr>
            </w:pPr>
            <w:proofErr w:type="gramStart"/>
            <w:r w:rsidRPr="00DD26E2">
              <w:rPr>
                <w:sz w:val="24"/>
                <w:szCs w:val="24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DD26E2">
              <w:rPr>
                <w:sz w:val="24"/>
                <w:szCs w:val="24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100,0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tabs>
                <w:tab w:val="left" w:pos="1224"/>
              </w:tabs>
              <w:ind w:right="114"/>
              <w:jc w:val="both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На покрытие расчетного финансового разрыва (на уплату налога на имущество)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124,9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1759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tabs>
                <w:tab w:val="left" w:pos="1224"/>
              </w:tabs>
              <w:ind w:right="114"/>
              <w:jc w:val="both"/>
              <w:rPr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 xml:space="preserve">Иной межбюджетный трансферт за счет </w:t>
            </w:r>
            <w:proofErr w:type="gramStart"/>
            <w:r w:rsidRPr="00DD26E2">
              <w:rPr>
                <w:color w:val="000000"/>
                <w:sz w:val="24"/>
                <w:szCs w:val="24"/>
              </w:rPr>
              <w:t>средств фонда непредвиденных расходов Администрации Томского района</w:t>
            </w:r>
            <w:proofErr w:type="gramEnd"/>
            <w:r w:rsidRPr="00DD26E2">
              <w:rPr>
                <w:color w:val="000000"/>
                <w:sz w:val="24"/>
                <w:szCs w:val="24"/>
              </w:rPr>
              <w:t xml:space="preserve"> на осуществление выплаты единовременного характера Зырянову Р.И., зарегистрированному и проживающему по адресу: Томская область, Томский район, п. Зональная Станция, ул. Молодежная д. кв.1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50,0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tabs>
                <w:tab w:val="left" w:pos="1224"/>
              </w:tabs>
              <w:ind w:right="112"/>
              <w:jc w:val="both"/>
              <w:rPr>
                <w:b/>
                <w:i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Иной межбюджетный трансферт  на  достижение целевых  показателей по плану мероприятий ("дорожной карте")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1979,8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1979,8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tabs>
                <w:tab w:val="left" w:pos="1224"/>
              </w:tabs>
              <w:ind w:right="112"/>
              <w:jc w:val="both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Иной межбюджетный трансферт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651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tabs>
                <w:tab w:val="left" w:pos="1224"/>
              </w:tabs>
              <w:ind w:right="112"/>
              <w:jc w:val="both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Иной межбюджетный трансферт на укрепление материально-технической базы учреждений культуры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tabs>
                <w:tab w:val="left" w:pos="1224"/>
              </w:tabs>
              <w:ind w:right="11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D26E2">
              <w:rPr>
                <w:color w:val="000000"/>
                <w:sz w:val="24"/>
                <w:szCs w:val="24"/>
              </w:rPr>
              <w:t>Иной межбюджетный трансферт за счет средств фонда непредвиденных расходов Администрации Томского района на осуществление выплаты единовременного характера Колесник В.В., зарегистрированному и проживающему по адресу:</w:t>
            </w:r>
            <w:proofErr w:type="gramEnd"/>
            <w:r w:rsidRPr="00DD26E2">
              <w:rPr>
                <w:color w:val="000000"/>
                <w:sz w:val="24"/>
                <w:szCs w:val="24"/>
              </w:rPr>
              <w:t xml:space="preserve"> Томская область, Томский район, п. Зональная Станция, ул</w:t>
            </w:r>
            <w:proofErr w:type="gramStart"/>
            <w:r w:rsidRPr="00DD26E2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DD26E2">
              <w:rPr>
                <w:color w:val="000000"/>
                <w:sz w:val="24"/>
                <w:szCs w:val="24"/>
              </w:rPr>
              <w:t>олнечная  д.21б кв.46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 xml:space="preserve">на "Повышение </w:t>
            </w:r>
            <w:proofErr w:type="gramStart"/>
            <w:r w:rsidRPr="00DD26E2">
              <w:rPr>
                <w:color w:val="000000"/>
                <w:sz w:val="24"/>
                <w:szCs w:val="24"/>
              </w:rPr>
              <w:t>качества жизни граждан старшего поколения Томского района</w:t>
            </w:r>
            <w:proofErr w:type="gramEnd"/>
            <w:r w:rsidRPr="00DD26E2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rPr>
                <w:color w:val="000000"/>
                <w:sz w:val="24"/>
                <w:szCs w:val="24"/>
              </w:rPr>
            </w:pPr>
            <w:proofErr w:type="gramStart"/>
            <w:r w:rsidRPr="00DD26E2">
              <w:rPr>
                <w:color w:val="000000"/>
                <w:sz w:val="24"/>
                <w:szCs w:val="24"/>
              </w:rPr>
              <w:t xml:space="preserve">Иной межбюджетный трансферт за счет средств фонда непредвиденных расходов Администрации Томского района на </w:t>
            </w:r>
            <w:r w:rsidRPr="00DD26E2">
              <w:rPr>
                <w:color w:val="000000"/>
                <w:sz w:val="24"/>
                <w:szCs w:val="24"/>
              </w:rPr>
              <w:lastRenderedPageBreak/>
              <w:t xml:space="preserve">осуществление выплаты единовременного характера </w:t>
            </w:r>
            <w:proofErr w:type="spellStart"/>
            <w:r w:rsidRPr="00DD26E2">
              <w:rPr>
                <w:color w:val="000000"/>
                <w:sz w:val="24"/>
                <w:szCs w:val="24"/>
              </w:rPr>
              <w:t>Гиренко</w:t>
            </w:r>
            <w:proofErr w:type="spellEnd"/>
            <w:r w:rsidRPr="00DD26E2">
              <w:rPr>
                <w:color w:val="000000"/>
                <w:sz w:val="24"/>
                <w:szCs w:val="24"/>
              </w:rPr>
              <w:t xml:space="preserve"> Н.А., зарегистрированному и проживающему по адресу:</w:t>
            </w:r>
            <w:proofErr w:type="gramEnd"/>
            <w:r w:rsidRPr="00DD26E2">
              <w:rPr>
                <w:color w:val="000000"/>
                <w:sz w:val="24"/>
                <w:szCs w:val="24"/>
              </w:rPr>
              <w:t xml:space="preserve"> Томская область, Томский район, п. Зональная Станция, ул. </w:t>
            </w:r>
            <w:proofErr w:type="spellStart"/>
            <w:r w:rsidRPr="00DD26E2">
              <w:rPr>
                <w:color w:val="000000"/>
                <w:sz w:val="24"/>
                <w:szCs w:val="24"/>
              </w:rPr>
              <w:t>мкр</w:t>
            </w:r>
            <w:proofErr w:type="gramStart"/>
            <w:r w:rsidRPr="00DD26E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D26E2">
              <w:rPr>
                <w:color w:val="000000"/>
                <w:sz w:val="24"/>
                <w:szCs w:val="24"/>
              </w:rPr>
              <w:t>адужный</w:t>
            </w:r>
            <w:proofErr w:type="spellEnd"/>
            <w:r w:rsidRPr="00DD26E2">
              <w:rPr>
                <w:color w:val="000000"/>
                <w:sz w:val="24"/>
                <w:szCs w:val="24"/>
              </w:rPr>
              <w:t xml:space="preserve"> д178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lastRenderedPageBreak/>
              <w:t>30,0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both"/>
              <w:rPr>
                <w:sz w:val="24"/>
                <w:szCs w:val="24"/>
              </w:rPr>
            </w:pPr>
            <w:r w:rsidRPr="00DD26E2">
              <w:rPr>
                <w:bCs/>
                <w:sz w:val="24"/>
                <w:szCs w:val="24"/>
              </w:rPr>
              <w:lastRenderedPageBreak/>
              <w:t>На организацию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327,1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0,00%</w:t>
            </w:r>
          </w:p>
        </w:tc>
      </w:tr>
      <w:tr w:rsidR="00DD26E2" w:rsidRPr="00DD26E2" w:rsidTr="00DD26E2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4"/>
                <w:szCs w:val="24"/>
              </w:rPr>
            </w:pPr>
            <w:r w:rsidRPr="00DD26E2">
              <w:rPr>
                <w:b/>
                <w:i/>
                <w:sz w:val="24"/>
                <w:szCs w:val="24"/>
              </w:rPr>
              <w:t>Дотации: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D26E2">
              <w:rPr>
                <w:b/>
                <w:i/>
                <w:sz w:val="24"/>
                <w:szCs w:val="24"/>
              </w:rPr>
              <w:t>9368,6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i/>
                <w:iCs/>
                <w:color w:val="000000"/>
                <w:sz w:val="24"/>
                <w:szCs w:val="24"/>
              </w:rPr>
              <w:t>9368,6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100,0%</w:t>
            </w:r>
          </w:p>
        </w:tc>
      </w:tr>
      <w:tr w:rsidR="00DD26E2" w:rsidRPr="00DD26E2" w:rsidTr="00DD26E2">
        <w:trPr>
          <w:trHeight w:val="26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tabs>
                <w:tab w:val="left" w:pos="1224"/>
              </w:tabs>
              <w:ind w:right="-108"/>
              <w:jc w:val="both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На покрытие расчетного финансового разрыва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9368,6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color w:val="000000"/>
                <w:sz w:val="24"/>
                <w:szCs w:val="24"/>
              </w:rPr>
            </w:pPr>
            <w:r w:rsidRPr="00DD26E2">
              <w:rPr>
                <w:color w:val="000000"/>
                <w:sz w:val="24"/>
                <w:szCs w:val="24"/>
              </w:rPr>
              <w:t>9368,6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26E2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100,0%</w:t>
            </w:r>
          </w:p>
        </w:tc>
      </w:tr>
    </w:tbl>
    <w:p w:rsidR="00DD26E2" w:rsidRPr="00DD26E2" w:rsidRDefault="00DD26E2" w:rsidP="00DD26E2">
      <w:pPr>
        <w:rPr>
          <w:sz w:val="24"/>
          <w:szCs w:val="24"/>
        </w:rPr>
      </w:pPr>
    </w:p>
    <w:tbl>
      <w:tblPr>
        <w:tblW w:w="9660" w:type="dxa"/>
        <w:tblInd w:w="91" w:type="dxa"/>
        <w:tblLayout w:type="fixed"/>
        <w:tblLook w:val="04A0"/>
      </w:tblPr>
      <w:tblGrid>
        <w:gridCol w:w="9660"/>
      </w:tblGrid>
      <w:tr w:rsidR="00DD26E2" w:rsidRPr="00DD26E2" w:rsidTr="00DD26E2">
        <w:trPr>
          <w:trHeight w:val="285"/>
        </w:trPr>
        <w:tc>
          <w:tcPr>
            <w:tcW w:w="9659" w:type="dxa"/>
            <w:vAlign w:val="center"/>
            <w:hideMark/>
          </w:tcPr>
          <w:p w:rsidR="00DD26E2" w:rsidRPr="00DD26E2" w:rsidRDefault="00DD26E2">
            <w:pPr>
              <w:jc w:val="right"/>
              <w:rPr>
                <w:i/>
                <w:iCs/>
                <w:sz w:val="24"/>
                <w:szCs w:val="24"/>
              </w:rPr>
            </w:pPr>
            <w:r w:rsidRPr="00DD26E2">
              <w:rPr>
                <w:i/>
                <w:iCs/>
                <w:sz w:val="24"/>
                <w:szCs w:val="24"/>
              </w:rPr>
              <w:t>Приложение 5 к отчету об исполнении</w:t>
            </w:r>
          </w:p>
        </w:tc>
      </w:tr>
      <w:tr w:rsidR="00DD26E2" w:rsidRPr="00DD26E2" w:rsidTr="00DD26E2">
        <w:trPr>
          <w:trHeight w:val="299"/>
        </w:trPr>
        <w:tc>
          <w:tcPr>
            <w:tcW w:w="9659" w:type="dxa"/>
            <w:noWrap/>
            <w:vAlign w:val="center"/>
            <w:hideMark/>
          </w:tcPr>
          <w:p w:rsidR="00DD26E2" w:rsidRPr="00DD26E2" w:rsidRDefault="00DD26E2">
            <w:pPr>
              <w:jc w:val="right"/>
              <w:rPr>
                <w:i/>
                <w:iCs/>
                <w:sz w:val="24"/>
                <w:szCs w:val="24"/>
              </w:rPr>
            </w:pPr>
            <w:r w:rsidRPr="00DD26E2">
              <w:rPr>
                <w:i/>
                <w:iCs/>
                <w:sz w:val="24"/>
                <w:szCs w:val="24"/>
              </w:rPr>
              <w:t xml:space="preserve">бюджета </w:t>
            </w:r>
            <w:proofErr w:type="spellStart"/>
            <w:r w:rsidRPr="00DD26E2">
              <w:rPr>
                <w:i/>
                <w:iCs/>
                <w:sz w:val="24"/>
                <w:szCs w:val="24"/>
              </w:rPr>
              <w:t>Зональненского</w:t>
            </w:r>
            <w:proofErr w:type="spellEnd"/>
            <w:r w:rsidRPr="00DD26E2">
              <w:rPr>
                <w:i/>
                <w:iCs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DD26E2" w:rsidRPr="00DD26E2" w:rsidRDefault="00DD26E2" w:rsidP="00DD26E2">
      <w:pPr>
        <w:jc w:val="right"/>
        <w:rPr>
          <w:i/>
          <w:sz w:val="24"/>
          <w:szCs w:val="24"/>
        </w:rPr>
      </w:pPr>
      <w:r w:rsidRPr="00DD26E2">
        <w:rPr>
          <w:i/>
          <w:sz w:val="24"/>
          <w:szCs w:val="24"/>
        </w:rPr>
        <w:t>за 2021 год</w:t>
      </w:r>
    </w:p>
    <w:p w:rsidR="00DD26E2" w:rsidRPr="00DD26E2" w:rsidRDefault="00DD26E2" w:rsidP="00DD26E2">
      <w:pPr>
        <w:tabs>
          <w:tab w:val="left" w:pos="5460"/>
        </w:tabs>
        <w:rPr>
          <w:b/>
          <w:sz w:val="24"/>
          <w:szCs w:val="24"/>
        </w:rPr>
      </w:pPr>
      <w:r w:rsidRPr="00DD26E2">
        <w:rPr>
          <w:b/>
          <w:sz w:val="24"/>
          <w:szCs w:val="24"/>
        </w:rPr>
        <w:tab/>
      </w:r>
    </w:p>
    <w:p w:rsidR="00DD26E2" w:rsidRPr="00DD26E2" w:rsidRDefault="00DD26E2" w:rsidP="00DD26E2">
      <w:pPr>
        <w:jc w:val="center"/>
        <w:rPr>
          <w:b/>
          <w:sz w:val="24"/>
          <w:szCs w:val="24"/>
        </w:rPr>
      </w:pPr>
      <w:r w:rsidRPr="00DD26E2">
        <w:rPr>
          <w:b/>
          <w:sz w:val="24"/>
          <w:szCs w:val="24"/>
        </w:rPr>
        <w:t xml:space="preserve">Отчет об исполнении источников финансирования дефицита бюджета </w:t>
      </w:r>
      <w:proofErr w:type="spellStart"/>
      <w:r w:rsidRPr="00DD26E2">
        <w:rPr>
          <w:b/>
          <w:sz w:val="24"/>
          <w:szCs w:val="24"/>
        </w:rPr>
        <w:t>Зональненского</w:t>
      </w:r>
      <w:proofErr w:type="spellEnd"/>
      <w:r w:rsidRPr="00DD26E2">
        <w:rPr>
          <w:b/>
          <w:sz w:val="24"/>
          <w:szCs w:val="24"/>
        </w:rPr>
        <w:t xml:space="preserve"> сельского поселения по кодам классификации источников финансирования дефицитов бюджетов,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</w:t>
      </w:r>
    </w:p>
    <w:p w:rsidR="00DD26E2" w:rsidRPr="00DD26E2" w:rsidRDefault="00DD26E2" w:rsidP="00DD26E2">
      <w:pPr>
        <w:jc w:val="center"/>
        <w:rPr>
          <w:sz w:val="24"/>
          <w:szCs w:val="24"/>
        </w:rPr>
      </w:pPr>
      <w:r w:rsidRPr="00DD26E2">
        <w:rPr>
          <w:b/>
          <w:sz w:val="24"/>
          <w:szCs w:val="24"/>
        </w:rPr>
        <w:t>дефицитов бюджетов,  за 2021 год</w:t>
      </w:r>
    </w:p>
    <w:tbl>
      <w:tblPr>
        <w:tblpPr w:leftFromText="180" w:rightFromText="180" w:vertAnchor="text" w:horzAnchor="margin" w:tblpXSpec="center" w:tblpY="188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694"/>
        <w:gridCol w:w="2978"/>
        <w:gridCol w:w="1418"/>
        <w:gridCol w:w="1277"/>
      </w:tblGrid>
      <w:tr w:rsidR="00DD26E2" w:rsidRPr="00DD26E2" w:rsidTr="00DD26E2">
        <w:trPr>
          <w:trHeight w:val="40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b/>
                <w:sz w:val="24"/>
                <w:szCs w:val="24"/>
              </w:rPr>
            </w:pPr>
            <w:r w:rsidRPr="00DD26E2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E2" w:rsidRPr="00DD26E2" w:rsidRDefault="00DD26E2">
            <w:pPr>
              <w:jc w:val="center"/>
              <w:rPr>
                <w:b/>
                <w:sz w:val="24"/>
                <w:szCs w:val="24"/>
              </w:rPr>
            </w:pPr>
          </w:p>
          <w:p w:rsidR="00DD26E2" w:rsidRPr="00DD26E2" w:rsidRDefault="00DD26E2">
            <w:pPr>
              <w:jc w:val="center"/>
              <w:rPr>
                <w:b/>
                <w:sz w:val="24"/>
                <w:szCs w:val="24"/>
              </w:rPr>
            </w:pPr>
          </w:p>
          <w:p w:rsidR="00DD26E2" w:rsidRPr="00DD26E2" w:rsidRDefault="00DD26E2">
            <w:pPr>
              <w:jc w:val="center"/>
              <w:rPr>
                <w:b/>
                <w:sz w:val="24"/>
                <w:szCs w:val="24"/>
              </w:rPr>
            </w:pPr>
          </w:p>
          <w:p w:rsidR="00DD26E2" w:rsidRPr="00DD26E2" w:rsidRDefault="00DD26E2">
            <w:pPr>
              <w:jc w:val="center"/>
              <w:rPr>
                <w:b/>
                <w:sz w:val="24"/>
                <w:szCs w:val="24"/>
              </w:rPr>
            </w:pPr>
            <w:r w:rsidRPr="00DD26E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E2" w:rsidRPr="00DD26E2" w:rsidRDefault="00DD26E2">
            <w:pPr>
              <w:jc w:val="center"/>
              <w:rPr>
                <w:b/>
                <w:sz w:val="24"/>
                <w:szCs w:val="24"/>
              </w:rPr>
            </w:pPr>
          </w:p>
          <w:p w:rsidR="00DD26E2" w:rsidRPr="00DD26E2" w:rsidRDefault="00DD26E2">
            <w:pPr>
              <w:jc w:val="center"/>
              <w:rPr>
                <w:b/>
                <w:sz w:val="24"/>
                <w:szCs w:val="24"/>
              </w:rPr>
            </w:pPr>
          </w:p>
          <w:p w:rsidR="00DD26E2" w:rsidRPr="00DD26E2" w:rsidRDefault="00DD26E2">
            <w:pPr>
              <w:jc w:val="center"/>
              <w:rPr>
                <w:b/>
                <w:sz w:val="24"/>
                <w:szCs w:val="24"/>
              </w:rPr>
            </w:pPr>
          </w:p>
          <w:p w:rsidR="00DD26E2" w:rsidRPr="00DD26E2" w:rsidRDefault="00DD26E2">
            <w:pPr>
              <w:jc w:val="center"/>
              <w:rPr>
                <w:b/>
                <w:sz w:val="24"/>
                <w:szCs w:val="24"/>
              </w:rPr>
            </w:pPr>
            <w:r w:rsidRPr="00DD26E2">
              <w:rPr>
                <w:b/>
                <w:sz w:val="24"/>
                <w:szCs w:val="24"/>
              </w:rPr>
              <w:t>Утверждено на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E2" w:rsidRPr="00DD26E2" w:rsidRDefault="00DD26E2">
            <w:pPr>
              <w:jc w:val="center"/>
              <w:rPr>
                <w:b/>
                <w:sz w:val="24"/>
                <w:szCs w:val="24"/>
              </w:rPr>
            </w:pPr>
          </w:p>
          <w:p w:rsidR="00DD26E2" w:rsidRPr="00DD26E2" w:rsidRDefault="00DD26E2">
            <w:pPr>
              <w:jc w:val="center"/>
              <w:rPr>
                <w:b/>
                <w:sz w:val="24"/>
                <w:szCs w:val="24"/>
              </w:rPr>
            </w:pPr>
          </w:p>
          <w:p w:rsidR="00DD26E2" w:rsidRPr="00DD26E2" w:rsidRDefault="00DD26E2">
            <w:pPr>
              <w:jc w:val="center"/>
              <w:rPr>
                <w:b/>
                <w:sz w:val="24"/>
                <w:szCs w:val="24"/>
              </w:rPr>
            </w:pPr>
          </w:p>
          <w:p w:rsidR="00DD26E2" w:rsidRPr="00DD26E2" w:rsidRDefault="00DD26E2">
            <w:pPr>
              <w:jc w:val="center"/>
              <w:rPr>
                <w:b/>
                <w:sz w:val="24"/>
                <w:szCs w:val="24"/>
              </w:rPr>
            </w:pPr>
            <w:r w:rsidRPr="00DD26E2">
              <w:rPr>
                <w:b/>
                <w:sz w:val="24"/>
                <w:szCs w:val="24"/>
              </w:rPr>
              <w:t>Исполнено</w:t>
            </w:r>
          </w:p>
          <w:p w:rsidR="00DD26E2" w:rsidRPr="00DD26E2" w:rsidRDefault="00DD26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6E2" w:rsidRPr="00DD26E2" w:rsidTr="00DD26E2">
        <w:trPr>
          <w:trHeight w:val="1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b/>
                <w:sz w:val="24"/>
                <w:szCs w:val="24"/>
              </w:rPr>
            </w:pPr>
            <w:r w:rsidRPr="00DD26E2">
              <w:rPr>
                <w:b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b/>
                <w:sz w:val="24"/>
                <w:szCs w:val="24"/>
              </w:rPr>
            </w:pPr>
            <w:r w:rsidRPr="00DD26E2">
              <w:rPr>
                <w:b/>
                <w:sz w:val="24"/>
                <w:szCs w:val="24"/>
              </w:rPr>
              <w:t>Код группы, подгруппы, статьи, вида источников, КОСГУ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E2" w:rsidRPr="00DD26E2" w:rsidRDefault="00DD26E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E2" w:rsidRPr="00DD26E2" w:rsidRDefault="00DD26E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6E2" w:rsidRPr="00DD26E2" w:rsidRDefault="00DD26E2">
            <w:pPr>
              <w:rPr>
                <w:b/>
                <w:sz w:val="24"/>
                <w:szCs w:val="24"/>
              </w:rPr>
            </w:pPr>
          </w:p>
        </w:tc>
      </w:tr>
      <w:tr w:rsidR="00DD26E2" w:rsidRPr="00DD26E2" w:rsidTr="00DD26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5</w:t>
            </w:r>
          </w:p>
        </w:tc>
      </w:tr>
      <w:tr w:rsidR="00DD26E2" w:rsidRPr="00DD26E2" w:rsidTr="00DD26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E2" w:rsidRPr="00DD26E2" w:rsidRDefault="00DD2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E2" w:rsidRPr="00DD26E2" w:rsidRDefault="00DD2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both"/>
              <w:rPr>
                <w:b/>
                <w:sz w:val="24"/>
                <w:szCs w:val="24"/>
              </w:rPr>
            </w:pPr>
            <w:r w:rsidRPr="00DD26E2">
              <w:rPr>
                <w:b/>
                <w:sz w:val="24"/>
                <w:szCs w:val="24"/>
              </w:rPr>
              <w:t>Источники финансирования  дефицита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right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-4292,8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right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-2448,4</w:t>
            </w:r>
          </w:p>
        </w:tc>
      </w:tr>
      <w:tr w:rsidR="00DD26E2" w:rsidRPr="00DD26E2" w:rsidTr="00DD26E2">
        <w:trPr>
          <w:trHeight w:val="8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0105 0000 000000 000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rPr>
                <w:b/>
                <w:sz w:val="24"/>
                <w:szCs w:val="24"/>
              </w:rPr>
            </w:pPr>
            <w:r w:rsidRPr="00DD26E2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right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-4292,8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right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-2448,4</w:t>
            </w:r>
          </w:p>
        </w:tc>
      </w:tr>
      <w:tr w:rsidR="00DD26E2" w:rsidRPr="00DD26E2" w:rsidTr="00DD26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sz w:val="24"/>
                <w:szCs w:val="24"/>
              </w:rPr>
            </w:pPr>
            <w:r w:rsidRPr="00DD26E2">
              <w:rPr>
                <w:bCs/>
                <w:color w:val="000000"/>
                <w:sz w:val="24"/>
                <w:szCs w:val="24"/>
              </w:rPr>
              <w:t>0105 0201 100000 510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right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-42055,1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right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-43823,9</w:t>
            </w:r>
          </w:p>
        </w:tc>
      </w:tr>
      <w:tr w:rsidR="00DD26E2" w:rsidRPr="00DD26E2" w:rsidTr="00DD26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jc w:val="center"/>
              <w:rPr>
                <w:sz w:val="24"/>
                <w:szCs w:val="24"/>
              </w:rPr>
            </w:pPr>
            <w:r w:rsidRPr="00DD26E2">
              <w:rPr>
                <w:bCs/>
                <w:color w:val="000000"/>
                <w:sz w:val="24"/>
                <w:szCs w:val="24"/>
              </w:rPr>
              <w:t>0105 0201 100000 610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E2" w:rsidRPr="00DD26E2" w:rsidRDefault="00DD26E2">
            <w:pPr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right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46347,9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6E2" w:rsidRPr="00DD26E2" w:rsidRDefault="00DD26E2">
            <w:pPr>
              <w:jc w:val="right"/>
              <w:rPr>
                <w:sz w:val="24"/>
                <w:szCs w:val="24"/>
              </w:rPr>
            </w:pPr>
            <w:r w:rsidRPr="00DD26E2">
              <w:rPr>
                <w:sz w:val="24"/>
                <w:szCs w:val="24"/>
              </w:rPr>
              <w:t>41375,5</w:t>
            </w:r>
          </w:p>
        </w:tc>
      </w:tr>
    </w:tbl>
    <w:p w:rsidR="00DD26E2" w:rsidRPr="00DD26E2" w:rsidRDefault="00DD26E2" w:rsidP="00DD26E2">
      <w:pPr>
        <w:tabs>
          <w:tab w:val="left" w:pos="1515"/>
        </w:tabs>
        <w:rPr>
          <w:sz w:val="24"/>
          <w:szCs w:val="24"/>
        </w:rPr>
      </w:pPr>
    </w:p>
    <w:p w:rsidR="00DD26E2" w:rsidRPr="00DD26E2" w:rsidRDefault="00DD26E2" w:rsidP="00DD26E2">
      <w:pPr>
        <w:jc w:val="both"/>
        <w:rPr>
          <w:sz w:val="24"/>
          <w:szCs w:val="24"/>
        </w:rPr>
      </w:pPr>
    </w:p>
    <w:p w:rsidR="00DD26E2" w:rsidRPr="00DD26E2" w:rsidRDefault="00DD26E2" w:rsidP="00DD26E2">
      <w:pPr>
        <w:jc w:val="center"/>
        <w:rPr>
          <w:i/>
          <w:sz w:val="24"/>
          <w:szCs w:val="24"/>
        </w:rPr>
      </w:pPr>
    </w:p>
    <w:p w:rsidR="004A6439" w:rsidRPr="00BB1AA3" w:rsidRDefault="004A6439" w:rsidP="004A6439">
      <w:pPr>
        <w:pStyle w:val="af0"/>
        <w:ind w:right="141"/>
        <w:jc w:val="right"/>
        <w:rPr>
          <w:lang/>
        </w:rPr>
      </w:pPr>
    </w:p>
    <w:sectPr w:rsidR="004A6439" w:rsidRPr="00BB1AA3" w:rsidSect="00DD26E2">
      <w:headerReference w:type="first" r:id="rId10"/>
      <w:pgSz w:w="11906" w:h="16838" w:code="9"/>
      <w:pgMar w:top="567" w:right="566" w:bottom="142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A49" w:rsidRDefault="00BD2A49">
      <w:r>
        <w:separator/>
      </w:r>
    </w:p>
  </w:endnote>
  <w:endnote w:type="continuationSeparator" w:id="0">
    <w:p w:rsidR="00BD2A49" w:rsidRDefault="00BD2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A49" w:rsidRDefault="00BD2A49">
      <w:r>
        <w:separator/>
      </w:r>
    </w:p>
  </w:footnote>
  <w:footnote w:type="continuationSeparator" w:id="0">
    <w:p w:rsidR="00BD2A49" w:rsidRDefault="00BD2A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8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1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8"/>
  </w:num>
  <w:num w:numId="4">
    <w:abstractNumId w:val="8"/>
  </w:num>
  <w:num w:numId="5">
    <w:abstractNumId w:val="21"/>
  </w:num>
  <w:num w:numId="6">
    <w:abstractNumId w:val="6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3"/>
  </w:num>
  <w:num w:numId="13">
    <w:abstractNumId w:val="12"/>
  </w:num>
  <w:num w:numId="14">
    <w:abstractNumId w:val="19"/>
  </w:num>
  <w:num w:numId="15">
    <w:abstractNumId w:val="7"/>
  </w:num>
  <w:num w:numId="16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5"/>
  </w:num>
  <w:num w:numId="19">
    <w:abstractNumId w:val="20"/>
  </w:num>
  <w:num w:numId="20">
    <w:abstractNumId w:val="16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</w:num>
  <w:num w:numId="23">
    <w:abstractNumId w:val="11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21EB"/>
    <w:rsid w:val="00074224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41DD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2A49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D26E2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qFormat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qFormat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34"/>
    <w:qFormat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qFormat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qFormat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qFormat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qFormat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qFormat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qFormat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qFormat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qFormat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qFormat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qFormat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qFormat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qFormat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34"/>
    <w:qFormat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34"/>
    <w:qFormat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34"/>
    <w:qFormat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34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34"/>
    <w:qFormat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qFormat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qFormat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qFormat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qFormat/>
    <w:rsid w:val="000E6D73"/>
    <w:rPr>
      <w:rFonts w:ascii="Times New Roman" w:hAnsi="Times New Roman"/>
    </w:rPr>
  </w:style>
  <w:style w:type="paragraph" w:customStyle="1" w:styleId="FR1">
    <w:name w:val="FR1"/>
    <w:uiPriority w:val="99"/>
    <w:qFormat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qFormat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qFormat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qFormat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qFormat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qFormat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qFormat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qFormat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qFormat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qFormat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qFormat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qFormat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qFormat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qFormat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qFormat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qFormat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qFormat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qFormat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qFormat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qFormat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qFormat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qFormat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qFormat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qFormat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qFormat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qFormat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qFormat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qFormat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qFormat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qFormat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qFormat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qFormat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qFormat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qFormat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qFormat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34"/>
    <w:qFormat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34"/>
    <w:qFormat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34"/>
    <w:qFormat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34"/>
    <w:qFormat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34"/>
    <w:qFormat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34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34"/>
    <w:qFormat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34"/>
    <w:qFormat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34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34"/>
    <w:qFormat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34"/>
    <w:qFormat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34"/>
    <w:qFormat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34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34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34"/>
    <w:qFormat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34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34"/>
    <w:qFormat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34"/>
    <w:qFormat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34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34"/>
    <w:qFormat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34"/>
    <w:qFormat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34"/>
    <w:qFormat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34"/>
    <w:qFormat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34"/>
    <w:qFormat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1a">
    <w:name w:val="Обычный (веб) Знак1"/>
    <w:aliases w:val="Обычный (Web) Знак1,Обычный (Web)1 Знак1"/>
    <w:locked/>
    <w:rsid w:val="00DD26E2"/>
    <w:rPr>
      <w:sz w:val="28"/>
    </w:rPr>
  </w:style>
  <w:style w:type="paragraph" w:customStyle="1" w:styleId="1b">
    <w:name w:val="Знак1"/>
    <w:basedOn w:val="a"/>
    <w:uiPriority w:val="99"/>
    <w:qFormat/>
    <w:rsid w:val="00DD26E2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xl126">
    <w:name w:val="xl126"/>
    <w:basedOn w:val="a"/>
    <w:uiPriority w:val="34"/>
    <w:qFormat/>
    <w:rsid w:val="00DD26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a"/>
    <w:uiPriority w:val="34"/>
    <w:qFormat/>
    <w:rsid w:val="00DD26E2"/>
    <w:pPr>
      <w:pBdr>
        <w:bottom w:val="single" w:sz="8" w:space="0" w:color="auto"/>
        <w:right w:val="single" w:sz="8" w:space="0" w:color="auto"/>
      </w:pBdr>
      <w:shd w:val="clear" w:color="auto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34"/>
    <w:qFormat/>
    <w:rsid w:val="00DD26E2"/>
    <w:pPr>
      <w:pBdr>
        <w:bottom w:val="single" w:sz="8" w:space="0" w:color="auto"/>
        <w:right w:val="single" w:sz="8" w:space="0" w:color="auto"/>
      </w:pBdr>
      <w:shd w:val="clear" w:color="auto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34"/>
    <w:qFormat/>
    <w:rsid w:val="00DD26E2"/>
    <w:pPr>
      <w:pBdr>
        <w:bottom w:val="single" w:sz="8" w:space="0" w:color="auto"/>
        <w:right w:val="single" w:sz="8" w:space="0" w:color="auto"/>
      </w:pBdr>
      <w:shd w:val="clear" w:color="auto" w:fill="FFC0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0">
    <w:name w:val="xl130"/>
    <w:basedOn w:val="a"/>
    <w:uiPriority w:val="34"/>
    <w:qFormat/>
    <w:rsid w:val="00DD26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uiPriority w:val="34"/>
    <w:qFormat/>
    <w:rsid w:val="00DD26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2">
    <w:name w:val="xl132"/>
    <w:basedOn w:val="a"/>
    <w:uiPriority w:val="34"/>
    <w:qFormat/>
    <w:rsid w:val="00DD26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3">
    <w:name w:val="xl133"/>
    <w:basedOn w:val="a"/>
    <w:uiPriority w:val="34"/>
    <w:qFormat/>
    <w:rsid w:val="00DD26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34">
    <w:name w:val="xl134"/>
    <w:basedOn w:val="a"/>
    <w:uiPriority w:val="34"/>
    <w:qFormat/>
    <w:rsid w:val="00DD26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uiPriority w:val="34"/>
    <w:qFormat/>
    <w:rsid w:val="00DD26E2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6">
    <w:name w:val="xl136"/>
    <w:basedOn w:val="a"/>
    <w:uiPriority w:val="34"/>
    <w:qFormat/>
    <w:rsid w:val="00DD26E2"/>
    <w:pPr>
      <w:pBdr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uiPriority w:val="34"/>
    <w:qFormat/>
    <w:rsid w:val="00DD26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8">
    <w:name w:val="xl138"/>
    <w:basedOn w:val="a"/>
    <w:uiPriority w:val="34"/>
    <w:qFormat/>
    <w:rsid w:val="00DD26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uiPriority w:val="34"/>
    <w:qFormat/>
    <w:rsid w:val="00DD26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uiPriority w:val="34"/>
    <w:qFormat/>
    <w:rsid w:val="00DD26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uiPriority w:val="34"/>
    <w:qFormat/>
    <w:rsid w:val="00DD26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uiPriority w:val="34"/>
    <w:qFormat/>
    <w:rsid w:val="00DD26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43">
    <w:name w:val="xl143"/>
    <w:basedOn w:val="a"/>
    <w:uiPriority w:val="34"/>
    <w:qFormat/>
    <w:rsid w:val="00DD26E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uiPriority w:val="34"/>
    <w:qFormat/>
    <w:rsid w:val="00DD26E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uiPriority w:val="34"/>
    <w:qFormat/>
    <w:rsid w:val="00DD26E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uiPriority w:val="34"/>
    <w:qFormat/>
    <w:rsid w:val="00DD26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uiPriority w:val="34"/>
    <w:qFormat/>
    <w:rsid w:val="00DD26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uiPriority w:val="34"/>
    <w:qFormat/>
    <w:rsid w:val="00DD26E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uiPriority w:val="34"/>
    <w:qFormat/>
    <w:rsid w:val="00DD26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uiPriority w:val="34"/>
    <w:qFormat/>
    <w:rsid w:val="00DD26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uiPriority w:val="34"/>
    <w:qFormat/>
    <w:rsid w:val="00DD26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2">
    <w:name w:val="xl152"/>
    <w:basedOn w:val="a"/>
    <w:uiPriority w:val="34"/>
    <w:qFormat/>
    <w:rsid w:val="00DD26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3">
    <w:name w:val="xl153"/>
    <w:basedOn w:val="a"/>
    <w:uiPriority w:val="34"/>
    <w:qFormat/>
    <w:rsid w:val="00DD26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4">
    <w:name w:val="xl154"/>
    <w:basedOn w:val="a"/>
    <w:uiPriority w:val="34"/>
    <w:qFormat/>
    <w:rsid w:val="00DD26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uiPriority w:val="34"/>
    <w:qFormat/>
    <w:rsid w:val="00DD26E2"/>
    <w:pPr>
      <w:spacing w:before="100" w:beforeAutospacing="1" w:after="100" w:afterAutospacing="1"/>
    </w:pPr>
    <w:rPr>
      <w:sz w:val="20"/>
    </w:rPr>
  </w:style>
  <w:style w:type="character" w:customStyle="1" w:styleId="1c">
    <w:name w:val="Основной текст Знак1"/>
    <w:basedOn w:val="a0"/>
    <w:semiHidden/>
    <w:rsid w:val="00DD26E2"/>
    <w:rPr>
      <w:rFonts w:ascii="Times New Roman" w:hAnsi="Times New Roman"/>
      <w:sz w:val="24"/>
      <w:szCs w:val="24"/>
    </w:rPr>
  </w:style>
  <w:style w:type="paragraph" w:customStyle="1" w:styleId="51">
    <w:name w:val="Абзац списка5"/>
    <w:basedOn w:val="a"/>
    <w:uiPriority w:val="99"/>
    <w:qFormat/>
    <w:rsid w:val="00DD26E2"/>
    <w:pPr>
      <w:ind w:left="720"/>
      <w:contextualSpacing/>
    </w:pPr>
    <w:rPr>
      <w:sz w:val="24"/>
      <w:szCs w:val="24"/>
    </w:rPr>
  </w:style>
  <w:style w:type="paragraph" w:customStyle="1" w:styleId="62">
    <w:name w:val="Абзац списка6"/>
    <w:basedOn w:val="a"/>
    <w:uiPriority w:val="99"/>
    <w:qFormat/>
    <w:rsid w:val="00DD26E2"/>
    <w:pPr>
      <w:ind w:left="720"/>
      <w:contextualSpacing/>
    </w:pPr>
    <w:rPr>
      <w:sz w:val="24"/>
      <w:szCs w:val="24"/>
    </w:rPr>
  </w:style>
  <w:style w:type="paragraph" w:customStyle="1" w:styleId="xl156">
    <w:name w:val="xl156"/>
    <w:basedOn w:val="a"/>
    <w:uiPriority w:val="34"/>
    <w:qFormat/>
    <w:rsid w:val="00DD26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uiPriority w:val="34"/>
    <w:qFormat/>
    <w:rsid w:val="00DD26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uiPriority w:val="34"/>
    <w:qFormat/>
    <w:rsid w:val="00DD26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59">
    <w:name w:val="xl159"/>
    <w:basedOn w:val="a"/>
    <w:uiPriority w:val="34"/>
    <w:qFormat/>
    <w:rsid w:val="00DD26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uiPriority w:val="34"/>
    <w:qFormat/>
    <w:rsid w:val="00DD26E2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61">
    <w:name w:val="xl161"/>
    <w:basedOn w:val="a"/>
    <w:uiPriority w:val="34"/>
    <w:qFormat/>
    <w:rsid w:val="00DD26E2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uiPriority w:val="34"/>
    <w:qFormat/>
    <w:rsid w:val="00DD26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uiPriority w:val="34"/>
    <w:qFormat/>
    <w:rsid w:val="00DD26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71">
    <w:name w:val="Абзац списка7"/>
    <w:basedOn w:val="a"/>
    <w:uiPriority w:val="99"/>
    <w:qFormat/>
    <w:rsid w:val="00DD26E2"/>
    <w:pPr>
      <w:ind w:left="720"/>
      <w:contextualSpacing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D26E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styleId="afff4">
    <w:name w:val="Subtle Emphasis"/>
    <w:uiPriority w:val="19"/>
    <w:qFormat/>
    <w:rsid w:val="00DD26E2"/>
    <w:rPr>
      <w:i/>
      <w:iCs/>
      <w:color w:val="808080"/>
    </w:rPr>
  </w:style>
  <w:style w:type="character" w:styleId="afff5">
    <w:name w:val="Intense Emphasis"/>
    <w:uiPriority w:val="21"/>
    <w:qFormat/>
    <w:rsid w:val="00DD26E2"/>
    <w:rPr>
      <w:b/>
      <w:bCs/>
      <w:i/>
      <w:iCs/>
      <w:color w:val="4F81BD"/>
    </w:rPr>
  </w:style>
  <w:style w:type="character" w:customStyle="1" w:styleId="710">
    <w:name w:val="Заголовок 7 Знак1"/>
    <w:semiHidden/>
    <w:rsid w:val="00DD26E2"/>
    <w:rPr>
      <w:rFonts w:ascii="Cambria" w:eastAsia="Times New Roman" w:hAnsi="Cambria" w:cs="Times New Roman" w:hint="default"/>
      <w:i/>
      <w:iCs/>
      <w:color w:val="404040"/>
      <w:sz w:val="28"/>
    </w:rPr>
  </w:style>
  <w:style w:type="character" w:customStyle="1" w:styleId="81">
    <w:name w:val="Заголовок 8 Знак1"/>
    <w:semiHidden/>
    <w:rsid w:val="00DD26E2"/>
    <w:rPr>
      <w:rFonts w:ascii="Cambria" w:eastAsia="Times New Roman" w:hAnsi="Cambria" w:cs="Times New Roman" w:hint="default"/>
      <w:color w:val="404040"/>
    </w:rPr>
  </w:style>
  <w:style w:type="character" w:customStyle="1" w:styleId="91">
    <w:name w:val="Заголовок 9 Знак1"/>
    <w:semiHidden/>
    <w:rsid w:val="00DD26E2"/>
    <w:rPr>
      <w:rFonts w:ascii="Cambria" w:eastAsia="Times New Roman" w:hAnsi="Cambria" w:cs="Times New Roman" w:hint="default"/>
      <w:i/>
      <w:iCs/>
      <w:color w:val="404040"/>
    </w:rPr>
  </w:style>
  <w:style w:type="character" w:customStyle="1" w:styleId="1d">
    <w:name w:val="Схема документа Знак1"/>
    <w:basedOn w:val="a0"/>
    <w:semiHidden/>
    <w:rsid w:val="00DD26E2"/>
    <w:rPr>
      <w:rFonts w:ascii="Tahoma" w:hAnsi="Tahoma" w:cs="Tahoma"/>
      <w:sz w:val="16"/>
      <w:szCs w:val="16"/>
    </w:rPr>
  </w:style>
  <w:style w:type="character" w:customStyle="1" w:styleId="1e">
    <w:name w:val="Название Знак1"/>
    <w:basedOn w:val="a0"/>
    <w:rsid w:val="00DD2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">
    <w:name w:val="Текст выноски Знак1"/>
    <w:basedOn w:val="a0"/>
    <w:semiHidden/>
    <w:rsid w:val="00DD26E2"/>
    <w:rPr>
      <w:rFonts w:ascii="Tahoma" w:hAnsi="Tahoma" w:cs="Tahoma"/>
      <w:sz w:val="16"/>
      <w:szCs w:val="16"/>
    </w:rPr>
  </w:style>
  <w:style w:type="character" w:customStyle="1" w:styleId="1f0">
    <w:name w:val="Верхний колонтитул Знак1"/>
    <w:basedOn w:val="a0"/>
    <w:semiHidden/>
    <w:rsid w:val="00DD26E2"/>
    <w:rPr>
      <w:rFonts w:ascii="Times New Roman" w:hAnsi="Times New Roman"/>
      <w:sz w:val="24"/>
      <w:szCs w:val="24"/>
    </w:rPr>
  </w:style>
  <w:style w:type="character" w:customStyle="1" w:styleId="1f1">
    <w:name w:val="Нижний колонтитул Знак1"/>
    <w:basedOn w:val="a0"/>
    <w:semiHidden/>
    <w:rsid w:val="00DD26E2"/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basedOn w:val="a0"/>
    <w:semiHidden/>
    <w:rsid w:val="00DD26E2"/>
    <w:rPr>
      <w:rFonts w:ascii="Times New Roman" w:hAnsi="Times New Roman"/>
      <w:sz w:val="24"/>
      <w:szCs w:val="24"/>
    </w:rPr>
  </w:style>
  <w:style w:type="character" w:customStyle="1" w:styleId="1f2">
    <w:name w:val="Основной текст с отступом Знак1"/>
    <w:basedOn w:val="a0"/>
    <w:semiHidden/>
    <w:rsid w:val="00DD26E2"/>
    <w:rPr>
      <w:rFonts w:ascii="Times New Roman" w:hAnsi="Times New Roman"/>
      <w:sz w:val="24"/>
      <w:szCs w:val="24"/>
    </w:rPr>
  </w:style>
  <w:style w:type="character" w:customStyle="1" w:styleId="310">
    <w:name w:val="Основной текст с отступом 3 Знак1"/>
    <w:basedOn w:val="a0"/>
    <w:semiHidden/>
    <w:rsid w:val="00DD26E2"/>
    <w:rPr>
      <w:rFonts w:ascii="Times New Roman" w:hAnsi="Times New Roman"/>
      <w:sz w:val="16"/>
      <w:szCs w:val="16"/>
    </w:rPr>
  </w:style>
  <w:style w:type="character" w:customStyle="1" w:styleId="212">
    <w:name w:val="Основной текст с отступом 2 Знак1"/>
    <w:basedOn w:val="a0"/>
    <w:semiHidden/>
    <w:rsid w:val="00DD26E2"/>
    <w:rPr>
      <w:rFonts w:ascii="Times New Roman" w:hAnsi="Times New Roman"/>
      <w:sz w:val="24"/>
      <w:szCs w:val="24"/>
    </w:rPr>
  </w:style>
  <w:style w:type="character" w:customStyle="1" w:styleId="311">
    <w:name w:val="Основной текст 3 Знак1"/>
    <w:basedOn w:val="a0"/>
    <w:semiHidden/>
    <w:rsid w:val="00DD26E2"/>
    <w:rPr>
      <w:rFonts w:ascii="Times New Roman" w:hAnsi="Times New Roman"/>
      <w:sz w:val="16"/>
      <w:szCs w:val="16"/>
    </w:rPr>
  </w:style>
  <w:style w:type="character" w:customStyle="1" w:styleId="1f3">
    <w:name w:val="Текст сноски Знак1"/>
    <w:basedOn w:val="a0"/>
    <w:semiHidden/>
    <w:rsid w:val="00DD26E2"/>
    <w:rPr>
      <w:rFonts w:ascii="Times New Roman" w:hAnsi="Times New Roman"/>
    </w:rPr>
  </w:style>
  <w:style w:type="character" w:customStyle="1" w:styleId="js-extracted-address">
    <w:name w:val="js-extracted-address"/>
    <w:rsid w:val="00DD26E2"/>
  </w:style>
  <w:style w:type="character" w:customStyle="1" w:styleId="mail-message-map-nobreak">
    <w:name w:val="mail-message-map-nobreak"/>
    <w:rsid w:val="00DD26E2"/>
  </w:style>
  <w:style w:type="character" w:customStyle="1" w:styleId="wmi-callto">
    <w:name w:val="wmi-callto"/>
    <w:rsid w:val="00DD26E2"/>
  </w:style>
  <w:style w:type="character" w:customStyle="1" w:styleId="afff6">
    <w:name w:val="Не вступил в силу"/>
    <w:rsid w:val="00DD26E2"/>
    <w:rPr>
      <w:b/>
      <w:bCs/>
      <w:color w:val="000000"/>
      <w:sz w:val="26"/>
      <w:szCs w:val="26"/>
      <w:shd w:val="clear" w:color="auto" w:fill="D8EDE8"/>
    </w:rPr>
  </w:style>
  <w:style w:type="character" w:customStyle="1" w:styleId="afff7">
    <w:name w:val="Обычный (веб) Знак"/>
    <w:aliases w:val="Обычный (Web) Знак,Обычный (Web)1 Знак"/>
    <w:locked/>
    <w:rsid w:val="00DD26E2"/>
    <w:rPr>
      <w:rFonts w:ascii="Times New Roman" w:hAnsi="Times New Roman" w:cs="Times New Roman" w:hint="default"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23A23-11CA-43F7-9675-BE55C0F2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4682</Words>
  <Characters>26690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54</cp:revision>
  <cp:lastPrinted>2019-01-29T07:48:00Z</cp:lastPrinted>
  <dcterms:created xsi:type="dcterms:W3CDTF">2020-01-13T09:47:00Z</dcterms:created>
  <dcterms:modified xsi:type="dcterms:W3CDTF">2022-08-23T16:07:00Z</dcterms:modified>
</cp:coreProperties>
</file>